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5000" w14:textId="260559DA" w:rsidR="00437630" w:rsidRDefault="00437630" w:rsidP="00AF2617">
      <w:pPr>
        <w:jc w:val="center"/>
        <w:rPr>
          <w:rFonts w:ascii="Arial" w:hAnsi="Arial" w:cs="Arial"/>
          <w:b/>
          <w:bCs/>
          <w:sz w:val="24"/>
          <w:szCs w:val="24"/>
        </w:rPr>
      </w:pPr>
      <w:r>
        <w:rPr>
          <w:rFonts w:ascii="Poppins" w:hAnsi="Poppins" w:cs="Poppins"/>
          <w:b/>
          <w:bCs/>
          <w:noProof/>
          <w:color w:val="060645"/>
          <w:sz w:val="24"/>
          <w:szCs w:val="24"/>
        </w:rPr>
        <mc:AlternateContent>
          <mc:Choice Requires="wps">
            <w:drawing>
              <wp:anchor distT="0" distB="0" distL="114300" distR="114300" simplePos="0" relativeHeight="251659264" behindDoc="0" locked="0" layoutInCell="1" allowOverlap="1" wp14:anchorId="13FD5E15" wp14:editId="06EBB87C">
                <wp:simplePos x="0" y="0"/>
                <wp:positionH relativeFrom="page">
                  <wp:align>left</wp:align>
                </wp:positionH>
                <wp:positionV relativeFrom="paragraph">
                  <wp:posOffset>-1310005</wp:posOffset>
                </wp:positionV>
                <wp:extent cx="7566660" cy="11018520"/>
                <wp:effectExtent l="0" t="0" r="15240" b="11430"/>
                <wp:wrapNone/>
                <wp:docPr id="4" name="Rectangle 4"/>
                <wp:cNvGraphicFramePr/>
                <a:graphic xmlns:a="http://schemas.openxmlformats.org/drawingml/2006/main">
                  <a:graphicData uri="http://schemas.microsoft.com/office/word/2010/wordprocessingShape">
                    <wps:wsp>
                      <wps:cNvSpPr/>
                      <wps:spPr>
                        <a:xfrm>
                          <a:off x="0" y="0"/>
                          <a:ext cx="7566660" cy="11018520"/>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00B3" id="Rectangle 4" o:spid="_x0000_s1026" style="position:absolute;margin-left:0;margin-top:-103.15pt;width:595.8pt;height:867.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" fillcolor="#060645" strokecolor="#1f3763 [1604]" strokeweight="1pt">
                <w10:wrap anchorx="page"/>
              </v:rect>
            </w:pict>
          </mc:Fallback>
        </mc:AlternateContent>
      </w:r>
    </w:p>
    <w:p w14:paraId="074DC599" w14:textId="3654D2FE" w:rsidR="00437630" w:rsidRDefault="00437630">
      <w:pPr>
        <w:rPr>
          <w:rFonts w:ascii="Arial" w:hAnsi="Arial" w:cs="Arial"/>
          <w:b/>
          <w:bCs/>
          <w:sz w:val="24"/>
          <w:szCs w:val="24"/>
        </w:rPr>
      </w:pPr>
      <w:r>
        <w:rPr>
          <w:rFonts w:ascii="Poppins Medium" w:hAnsi="Poppins Medium" w:cs="Poppins Medium"/>
          <w:noProof/>
          <w:color w:val="FFFFFF" w:themeColor="background1"/>
          <w:sz w:val="60"/>
          <w:szCs w:val="60"/>
        </w:rPr>
        <w:drawing>
          <wp:anchor distT="0" distB="0" distL="114300" distR="114300" simplePos="0" relativeHeight="251663360" behindDoc="0" locked="0" layoutInCell="1" allowOverlap="1" wp14:anchorId="0CB7DB33" wp14:editId="340F4734">
            <wp:simplePos x="0" y="0"/>
            <wp:positionH relativeFrom="page">
              <wp:posOffset>777240</wp:posOffset>
            </wp:positionH>
            <wp:positionV relativeFrom="page">
              <wp:posOffset>9654540</wp:posOffset>
            </wp:positionV>
            <wp:extent cx="1411200" cy="460800"/>
            <wp:effectExtent l="0" t="0" r="0" b="0"/>
            <wp:wrapSquare wrapText="bothSides"/>
            <wp:docPr id="24" name="Picture 24"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oppins" w:hAnsi="Poppins" w:cs="Poppins"/>
          <w:b/>
          <w:bCs/>
          <w:noProof/>
          <w:color w:val="060645"/>
          <w:sz w:val="24"/>
          <w:szCs w:val="24"/>
        </w:rPr>
        <mc:AlternateContent>
          <mc:Choice Requires="wps">
            <w:drawing>
              <wp:anchor distT="0" distB="0" distL="114300" distR="114300" simplePos="0" relativeHeight="251661312" behindDoc="0" locked="0" layoutInCell="1" allowOverlap="1" wp14:anchorId="75BBFB95" wp14:editId="7AD8C67C">
                <wp:simplePos x="0" y="0"/>
                <wp:positionH relativeFrom="column">
                  <wp:posOffset>-144780</wp:posOffset>
                </wp:positionH>
                <wp:positionV relativeFrom="paragraph">
                  <wp:posOffset>584835</wp:posOffset>
                </wp:positionV>
                <wp:extent cx="5572125" cy="3676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572125" cy="3676650"/>
                        </a:xfrm>
                        <a:prstGeom prst="rect">
                          <a:avLst/>
                        </a:prstGeom>
                        <a:solidFill>
                          <a:srgbClr val="060645"/>
                        </a:solidFill>
                        <a:ln w="6350">
                          <a:solidFill>
                            <a:srgbClr val="060645"/>
                          </a:solidFill>
                        </a:ln>
                      </wps:spPr>
                      <wps:txbx>
                        <w:txbxContent>
                          <w:p w14:paraId="49A6856C" w14:textId="6405AB19" w:rsidR="00437630" w:rsidRPr="00462E1A" w:rsidRDefault="00437630" w:rsidP="00437630">
                            <w:pPr>
                              <w:pStyle w:val="CoverHeading"/>
                              <w:rPr>
                                <w:rFonts w:ascii="Poppins Medium" w:hAnsi="Poppins Medium" w:cs="Poppins Medium"/>
                                <w:sz w:val="60"/>
                                <w:szCs w:val="60"/>
                              </w:rPr>
                            </w:pPr>
                            <w:r>
                              <w:t>Cyclescheme Guidance Document</w:t>
                            </w:r>
                          </w:p>
                          <w:p w14:paraId="145961DE" w14:textId="531C3EE3" w:rsidR="00437630" w:rsidRPr="00062696" w:rsidRDefault="00437630" w:rsidP="00437630">
                            <w:pPr>
                              <w:pStyle w:val="CoverSubheading"/>
                              <w:rPr>
                                <w:sz w:val="32"/>
                                <w:szCs w:val="32"/>
                              </w:rPr>
                            </w:pPr>
                            <w:r>
                              <w:rPr>
                                <w:sz w:val="32"/>
                                <w:szCs w:val="32"/>
                              </w:rPr>
                              <w:br/>
                            </w:r>
                            <w:r>
                              <w:rPr>
                                <w:rStyle w:val="Cover-DetailsChar"/>
                              </w:rPr>
                              <w:t>Travel Advice</w:t>
                            </w:r>
                            <w:r w:rsidRPr="00A905FE">
                              <w:rPr>
                                <w:rStyle w:val="Cover-DetailsChar"/>
                              </w:rPr>
                              <w:br/>
                            </w:r>
                            <w:r w:rsidR="00A5230C">
                              <w:rPr>
                                <w:rStyle w:val="Cover-DetailsChar"/>
                              </w:rPr>
                              <w:t>March 2023</w:t>
                            </w:r>
                          </w:p>
                          <w:p w14:paraId="440C4F20" w14:textId="77777777" w:rsidR="00437630" w:rsidRDefault="00437630" w:rsidP="00437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BBFB95" id="_x0000_t202" coordsize="21600,21600" o:spt="202" path="m,l,21600r21600,l21600,xe">
                <v:stroke joinstyle="miter"/>
                <v:path gradientshapeok="t" o:connecttype="rect"/>
              </v:shapetype>
              <v:shape id="Text Box 5" o:spid="_x0000_s1026" type="#_x0000_t202" style="position:absolute;margin-left:-11.4pt;margin-top:46.05pt;width:438.75pt;height:28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" fillcolor="#060645" strokecolor="#060645" strokeweight=".5pt">
                <v:textbox>
                  <w:txbxContent>
                    <w:p w14:paraId="49A6856C" w14:textId="6405AB19" w:rsidR="00437630" w:rsidRPr="00462E1A" w:rsidRDefault="00437630" w:rsidP="00437630">
                      <w:pPr>
                        <w:pStyle w:val="CoverHeading"/>
                        <w:rPr>
                          <w:rFonts w:ascii="Poppins Medium" w:hAnsi="Poppins Medium" w:cs="Poppins Medium"/>
                          <w:sz w:val="60"/>
                          <w:szCs w:val="60"/>
                        </w:rPr>
                      </w:pPr>
                      <w:r>
                        <w:t>Cyclescheme Guidance Document</w:t>
                      </w:r>
                    </w:p>
                    <w:p w14:paraId="145961DE" w14:textId="531C3EE3" w:rsidR="00437630" w:rsidRPr="00062696" w:rsidRDefault="00437630" w:rsidP="00437630">
                      <w:pPr>
                        <w:pStyle w:val="CoverSubheading"/>
                        <w:rPr>
                          <w:sz w:val="32"/>
                          <w:szCs w:val="32"/>
                        </w:rPr>
                      </w:pPr>
                      <w:r>
                        <w:rPr>
                          <w:sz w:val="32"/>
                          <w:szCs w:val="32"/>
                        </w:rPr>
                        <w:br/>
                      </w:r>
                      <w:r>
                        <w:rPr>
                          <w:rStyle w:val="Cover-DetailsChar"/>
                        </w:rPr>
                        <w:t>Travel Advice</w:t>
                      </w:r>
                      <w:r w:rsidRPr="00A905FE">
                        <w:rPr>
                          <w:rStyle w:val="Cover-DetailsChar"/>
                        </w:rPr>
                        <w:br/>
                      </w:r>
                      <w:r w:rsidR="00A5230C">
                        <w:rPr>
                          <w:rStyle w:val="Cover-DetailsChar"/>
                        </w:rPr>
                        <w:t>March 2023</w:t>
                      </w:r>
                    </w:p>
                    <w:p w14:paraId="440C4F20" w14:textId="77777777" w:rsidR="00437630" w:rsidRDefault="00437630" w:rsidP="00437630"/>
                  </w:txbxContent>
                </v:textbox>
              </v:shape>
            </w:pict>
          </mc:Fallback>
        </mc:AlternateContent>
      </w:r>
      <w:r>
        <w:rPr>
          <w:rFonts w:ascii="Arial" w:hAnsi="Arial" w:cs="Arial"/>
          <w:b/>
          <w:bCs/>
          <w:sz w:val="24"/>
          <w:szCs w:val="24"/>
        </w:rPr>
        <w:br w:type="page"/>
      </w:r>
    </w:p>
    <w:p w14:paraId="563B3297" w14:textId="4F72EF29" w:rsidR="00C93989" w:rsidRPr="00437630" w:rsidRDefault="00CD33C8" w:rsidP="00AF2617">
      <w:pPr>
        <w:jc w:val="center"/>
        <w:rPr>
          <w:rFonts w:ascii="Poppins" w:hAnsi="Poppins" w:cs="Poppins"/>
          <w:b/>
          <w:bCs/>
          <w:color w:val="060645"/>
          <w:sz w:val="24"/>
          <w:szCs w:val="24"/>
        </w:rPr>
      </w:pPr>
      <w:r w:rsidRPr="00437630">
        <w:rPr>
          <w:rFonts w:ascii="Poppins" w:hAnsi="Poppins" w:cs="Poppins"/>
          <w:b/>
          <w:bCs/>
          <w:color w:val="060645"/>
          <w:sz w:val="24"/>
          <w:szCs w:val="24"/>
        </w:rPr>
        <w:lastRenderedPageBreak/>
        <w:t>Contents</w:t>
      </w:r>
    </w:p>
    <w:p w14:paraId="3810AEA9" w14:textId="77777777" w:rsidR="00CD33C8" w:rsidRPr="00437630" w:rsidRDefault="00CD33C8" w:rsidP="00AF2617">
      <w:pPr>
        <w:jc w:val="center"/>
        <w:rPr>
          <w:rFonts w:ascii="Poppins" w:hAnsi="Poppins" w:cs="Poppins"/>
          <w:b/>
          <w:bCs/>
          <w:color w:val="06064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437630" w:rsidRPr="00437630" w14:paraId="601F3A5B" w14:textId="77777777" w:rsidTr="00AF2617">
        <w:trPr>
          <w:trHeight w:val="344"/>
        </w:trPr>
        <w:tc>
          <w:tcPr>
            <w:tcW w:w="8217" w:type="dxa"/>
            <w:vAlign w:val="center"/>
          </w:tcPr>
          <w:p w14:paraId="44C3CE7C" w14:textId="1DAF7E1F" w:rsidR="00E83557" w:rsidRPr="00437630" w:rsidRDefault="00E83557" w:rsidP="00E83557">
            <w:pPr>
              <w:pStyle w:val="ListParagraph"/>
              <w:numPr>
                <w:ilvl w:val="0"/>
                <w:numId w:val="25"/>
              </w:numPr>
              <w:rPr>
                <w:rFonts w:ascii="Poppins" w:hAnsi="Poppins" w:cs="Poppins"/>
                <w:b/>
                <w:bCs/>
                <w:color w:val="060645"/>
              </w:rPr>
            </w:pPr>
            <w:r w:rsidRPr="00437630">
              <w:rPr>
                <w:rFonts w:ascii="Poppins" w:hAnsi="Poppins" w:cs="Poppins"/>
                <w:b/>
                <w:bCs/>
                <w:color w:val="060645"/>
              </w:rPr>
              <w:t>Introduction</w:t>
            </w:r>
          </w:p>
        </w:tc>
        <w:tc>
          <w:tcPr>
            <w:tcW w:w="799" w:type="dxa"/>
            <w:vAlign w:val="center"/>
          </w:tcPr>
          <w:p w14:paraId="26D54E07" w14:textId="56C05318" w:rsidR="00E83557" w:rsidRPr="00437630" w:rsidRDefault="00063AD3" w:rsidP="00E83557">
            <w:pPr>
              <w:jc w:val="center"/>
              <w:rPr>
                <w:rFonts w:ascii="Poppins" w:hAnsi="Poppins" w:cs="Poppins"/>
                <w:b/>
                <w:bCs/>
                <w:color w:val="060645"/>
              </w:rPr>
            </w:pPr>
            <w:r>
              <w:rPr>
                <w:rFonts w:ascii="Poppins" w:hAnsi="Poppins" w:cs="Poppins"/>
                <w:b/>
                <w:bCs/>
                <w:color w:val="060645"/>
              </w:rPr>
              <w:t>3</w:t>
            </w:r>
          </w:p>
        </w:tc>
      </w:tr>
      <w:tr w:rsidR="00437630" w:rsidRPr="00437630" w14:paraId="21AF840B" w14:textId="77777777" w:rsidTr="00AF2617">
        <w:trPr>
          <w:trHeight w:val="406"/>
        </w:trPr>
        <w:tc>
          <w:tcPr>
            <w:tcW w:w="8217" w:type="dxa"/>
            <w:vAlign w:val="center"/>
          </w:tcPr>
          <w:p w14:paraId="290EB0C4" w14:textId="5E5A38D4" w:rsidR="00E83557" w:rsidRPr="00437630" w:rsidRDefault="00E83557" w:rsidP="00E83557">
            <w:pPr>
              <w:pStyle w:val="ListParagraph"/>
              <w:numPr>
                <w:ilvl w:val="0"/>
                <w:numId w:val="25"/>
              </w:numPr>
              <w:rPr>
                <w:rFonts w:ascii="Poppins" w:hAnsi="Poppins" w:cs="Poppins"/>
                <w:b/>
                <w:bCs/>
                <w:color w:val="060645"/>
              </w:rPr>
            </w:pPr>
            <w:r w:rsidRPr="00437630">
              <w:rPr>
                <w:rFonts w:ascii="Poppins" w:hAnsi="Poppins" w:cs="Poppins"/>
                <w:b/>
                <w:bCs/>
                <w:color w:val="060645"/>
              </w:rPr>
              <w:t>How Cyclescheme works</w:t>
            </w:r>
          </w:p>
        </w:tc>
        <w:tc>
          <w:tcPr>
            <w:tcW w:w="799" w:type="dxa"/>
            <w:vAlign w:val="center"/>
          </w:tcPr>
          <w:p w14:paraId="33A024C6" w14:textId="6736214B" w:rsidR="00E83557" w:rsidRPr="00437630" w:rsidRDefault="00063AD3" w:rsidP="00E83557">
            <w:pPr>
              <w:jc w:val="center"/>
              <w:rPr>
                <w:rFonts w:ascii="Poppins" w:hAnsi="Poppins" w:cs="Poppins"/>
                <w:b/>
                <w:bCs/>
                <w:color w:val="060645"/>
              </w:rPr>
            </w:pPr>
            <w:r>
              <w:rPr>
                <w:rFonts w:ascii="Poppins" w:hAnsi="Poppins" w:cs="Poppins"/>
                <w:b/>
                <w:bCs/>
                <w:color w:val="060645"/>
              </w:rPr>
              <w:t>4</w:t>
            </w:r>
          </w:p>
        </w:tc>
      </w:tr>
      <w:tr w:rsidR="00437630" w:rsidRPr="00437630" w14:paraId="6BA949A5" w14:textId="77777777" w:rsidTr="00AF2617">
        <w:trPr>
          <w:trHeight w:val="425"/>
        </w:trPr>
        <w:tc>
          <w:tcPr>
            <w:tcW w:w="8217" w:type="dxa"/>
            <w:vAlign w:val="center"/>
          </w:tcPr>
          <w:p w14:paraId="656951BE" w14:textId="4A8B2FD5" w:rsidR="00E83557" w:rsidRPr="00437630" w:rsidRDefault="00E83557" w:rsidP="00E83557">
            <w:pPr>
              <w:pStyle w:val="ListParagraph"/>
              <w:rPr>
                <w:rFonts w:ascii="Poppins" w:hAnsi="Poppins" w:cs="Poppins"/>
                <w:color w:val="060645"/>
              </w:rPr>
            </w:pPr>
            <w:r w:rsidRPr="00437630">
              <w:rPr>
                <w:rFonts w:ascii="Poppins" w:hAnsi="Poppins" w:cs="Poppins"/>
                <w:color w:val="060645"/>
              </w:rPr>
              <w:t xml:space="preserve">2.1 Voucher </w:t>
            </w:r>
            <w:r w:rsidR="003F19E9" w:rsidRPr="00437630">
              <w:rPr>
                <w:rFonts w:ascii="Poppins" w:hAnsi="Poppins" w:cs="Poppins"/>
                <w:color w:val="060645"/>
              </w:rPr>
              <w:t xml:space="preserve">value </w:t>
            </w:r>
            <w:r w:rsidRPr="00437630">
              <w:rPr>
                <w:rFonts w:ascii="Poppins" w:hAnsi="Poppins" w:cs="Poppins"/>
                <w:color w:val="060645"/>
              </w:rPr>
              <w:t>limit</w:t>
            </w:r>
          </w:p>
        </w:tc>
        <w:tc>
          <w:tcPr>
            <w:tcW w:w="799" w:type="dxa"/>
            <w:vAlign w:val="center"/>
          </w:tcPr>
          <w:p w14:paraId="1471C543" w14:textId="4FFB858F" w:rsidR="00E83557" w:rsidRPr="00437630" w:rsidRDefault="00063AD3" w:rsidP="00E83557">
            <w:pPr>
              <w:jc w:val="center"/>
              <w:rPr>
                <w:rFonts w:ascii="Poppins" w:hAnsi="Poppins" w:cs="Poppins"/>
                <w:b/>
                <w:bCs/>
                <w:color w:val="060645"/>
              </w:rPr>
            </w:pPr>
            <w:r>
              <w:rPr>
                <w:rFonts w:ascii="Poppins" w:hAnsi="Poppins" w:cs="Poppins"/>
                <w:b/>
                <w:bCs/>
                <w:color w:val="060645"/>
              </w:rPr>
              <w:t>5</w:t>
            </w:r>
          </w:p>
        </w:tc>
      </w:tr>
      <w:tr w:rsidR="00437630" w:rsidRPr="00437630" w14:paraId="14C34F91" w14:textId="77777777" w:rsidTr="00AF2617">
        <w:trPr>
          <w:trHeight w:val="414"/>
        </w:trPr>
        <w:tc>
          <w:tcPr>
            <w:tcW w:w="8217" w:type="dxa"/>
            <w:vAlign w:val="center"/>
          </w:tcPr>
          <w:p w14:paraId="587B2285" w14:textId="0ABC8264" w:rsidR="00E83557" w:rsidRPr="00437630" w:rsidRDefault="00E83557" w:rsidP="00E83557">
            <w:pPr>
              <w:pStyle w:val="ListParagraph"/>
              <w:rPr>
                <w:rFonts w:ascii="Poppins" w:hAnsi="Poppins" w:cs="Poppins"/>
                <w:color w:val="060645"/>
              </w:rPr>
            </w:pPr>
            <w:r w:rsidRPr="00437630">
              <w:rPr>
                <w:rFonts w:ascii="Poppins" w:hAnsi="Poppins" w:cs="Poppins"/>
                <w:color w:val="060645"/>
              </w:rPr>
              <w:t xml:space="preserve">2.2. </w:t>
            </w:r>
            <w:r w:rsidR="003F19E9" w:rsidRPr="00437630">
              <w:rPr>
                <w:rFonts w:ascii="Poppins" w:hAnsi="Poppins" w:cs="Poppins"/>
                <w:color w:val="060645"/>
              </w:rPr>
              <w:t>I</w:t>
            </w:r>
            <w:r w:rsidRPr="00437630">
              <w:rPr>
                <w:rFonts w:ascii="Poppins" w:hAnsi="Poppins" w:cs="Poppins"/>
                <w:color w:val="060645"/>
              </w:rPr>
              <w:t>nsurance</w:t>
            </w:r>
          </w:p>
        </w:tc>
        <w:tc>
          <w:tcPr>
            <w:tcW w:w="799" w:type="dxa"/>
            <w:vAlign w:val="center"/>
          </w:tcPr>
          <w:p w14:paraId="06E83198" w14:textId="481FB4AC" w:rsidR="00E83557" w:rsidRPr="00437630" w:rsidRDefault="00063AD3" w:rsidP="00E83557">
            <w:pPr>
              <w:jc w:val="center"/>
              <w:rPr>
                <w:rFonts w:ascii="Poppins" w:hAnsi="Poppins" w:cs="Poppins"/>
                <w:b/>
                <w:bCs/>
                <w:color w:val="060645"/>
              </w:rPr>
            </w:pPr>
            <w:r>
              <w:rPr>
                <w:rFonts w:ascii="Poppins" w:hAnsi="Poppins" w:cs="Poppins"/>
                <w:b/>
                <w:bCs/>
                <w:color w:val="060645"/>
              </w:rPr>
              <w:t>5</w:t>
            </w:r>
          </w:p>
        </w:tc>
      </w:tr>
      <w:tr w:rsidR="00437630" w:rsidRPr="00437630" w14:paraId="1803975F" w14:textId="77777777" w:rsidTr="00AF2617">
        <w:trPr>
          <w:trHeight w:val="419"/>
        </w:trPr>
        <w:tc>
          <w:tcPr>
            <w:tcW w:w="8217" w:type="dxa"/>
            <w:vAlign w:val="center"/>
          </w:tcPr>
          <w:p w14:paraId="23D01BC2" w14:textId="2EB44A63" w:rsidR="00E83557" w:rsidRPr="00437630" w:rsidRDefault="00E83557" w:rsidP="00E83557">
            <w:pPr>
              <w:rPr>
                <w:rFonts w:ascii="Poppins" w:hAnsi="Poppins" w:cs="Poppins"/>
                <w:b/>
                <w:bCs/>
                <w:color w:val="060645"/>
              </w:rPr>
            </w:pPr>
            <w:r w:rsidRPr="00437630">
              <w:rPr>
                <w:rFonts w:ascii="Poppins" w:hAnsi="Poppins" w:cs="Poppins"/>
                <w:b/>
                <w:bCs/>
                <w:color w:val="060645"/>
              </w:rPr>
              <w:t>3.0 How a salary sacrifice works</w:t>
            </w:r>
          </w:p>
        </w:tc>
        <w:tc>
          <w:tcPr>
            <w:tcW w:w="799" w:type="dxa"/>
            <w:vAlign w:val="center"/>
          </w:tcPr>
          <w:p w14:paraId="01C5B028" w14:textId="091CB0A8" w:rsidR="00E83557" w:rsidRPr="00437630" w:rsidRDefault="00063AD3" w:rsidP="00E83557">
            <w:pPr>
              <w:jc w:val="center"/>
              <w:rPr>
                <w:rFonts w:ascii="Poppins" w:hAnsi="Poppins" w:cs="Poppins"/>
                <w:b/>
                <w:bCs/>
                <w:color w:val="060645"/>
              </w:rPr>
            </w:pPr>
            <w:r>
              <w:rPr>
                <w:rFonts w:ascii="Poppins" w:hAnsi="Poppins" w:cs="Poppins"/>
                <w:b/>
                <w:bCs/>
                <w:color w:val="060645"/>
              </w:rPr>
              <w:t>5</w:t>
            </w:r>
          </w:p>
        </w:tc>
      </w:tr>
      <w:tr w:rsidR="00437630" w:rsidRPr="00437630" w14:paraId="7394F124" w14:textId="77777777" w:rsidTr="00AF2617">
        <w:trPr>
          <w:trHeight w:val="411"/>
        </w:trPr>
        <w:tc>
          <w:tcPr>
            <w:tcW w:w="8217" w:type="dxa"/>
            <w:vAlign w:val="center"/>
          </w:tcPr>
          <w:p w14:paraId="5CD2CAC3" w14:textId="174A6EA3" w:rsidR="00E83557" w:rsidRPr="00437630" w:rsidRDefault="00E83557" w:rsidP="00E83557">
            <w:pPr>
              <w:pStyle w:val="ListParagraph"/>
              <w:rPr>
                <w:rFonts w:ascii="Poppins" w:hAnsi="Poppins" w:cs="Poppins"/>
                <w:color w:val="060645"/>
              </w:rPr>
            </w:pPr>
            <w:r w:rsidRPr="00437630">
              <w:rPr>
                <w:rFonts w:ascii="Poppins" w:hAnsi="Poppins" w:cs="Poppins"/>
                <w:color w:val="060645"/>
              </w:rPr>
              <w:t>3.1 Time periods of the scheme</w:t>
            </w:r>
          </w:p>
        </w:tc>
        <w:tc>
          <w:tcPr>
            <w:tcW w:w="799" w:type="dxa"/>
            <w:vAlign w:val="center"/>
          </w:tcPr>
          <w:p w14:paraId="1DB994FA" w14:textId="3AD2B155" w:rsidR="00E83557" w:rsidRPr="00437630" w:rsidRDefault="00063AD3" w:rsidP="00E83557">
            <w:pPr>
              <w:jc w:val="center"/>
              <w:rPr>
                <w:rFonts w:ascii="Poppins" w:hAnsi="Poppins" w:cs="Poppins"/>
                <w:b/>
                <w:bCs/>
                <w:color w:val="060645"/>
              </w:rPr>
            </w:pPr>
            <w:r>
              <w:rPr>
                <w:rFonts w:ascii="Poppins" w:hAnsi="Poppins" w:cs="Poppins"/>
                <w:b/>
                <w:bCs/>
                <w:color w:val="060645"/>
              </w:rPr>
              <w:t>6</w:t>
            </w:r>
          </w:p>
        </w:tc>
      </w:tr>
      <w:tr w:rsidR="00437630" w:rsidRPr="00437630" w14:paraId="68392ACA" w14:textId="77777777" w:rsidTr="00AF2617">
        <w:trPr>
          <w:trHeight w:val="416"/>
        </w:trPr>
        <w:tc>
          <w:tcPr>
            <w:tcW w:w="8217" w:type="dxa"/>
            <w:vAlign w:val="center"/>
          </w:tcPr>
          <w:p w14:paraId="33F3E65E" w14:textId="3BAFD63E" w:rsidR="00E83557" w:rsidRPr="00437630" w:rsidRDefault="00E83557" w:rsidP="00E83557">
            <w:pPr>
              <w:pStyle w:val="ListParagraph"/>
              <w:rPr>
                <w:rFonts w:ascii="Poppins" w:hAnsi="Poppins" w:cs="Poppins"/>
                <w:color w:val="060645"/>
              </w:rPr>
            </w:pPr>
            <w:r w:rsidRPr="00437630">
              <w:rPr>
                <w:rFonts w:ascii="Poppins" w:hAnsi="Poppins" w:cs="Poppins"/>
                <w:color w:val="060645"/>
              </w:rPr>
              <w:t>3.2 Eligibility</w:t>
            </w:r>
          </w:p>
        </w:tc>
        <w:tc>
          <w:tcPr>
            <w:tcW w:w="799" w:type="dxa"/>
            <w:vAlign w:val="center"/>
          </w:tcPr>
          <w:p w14:paraId="2ED97A64" w14:textId="0A985E1B" w:rsidR="00E83557" w:rsidRPr="00437630" w:rsidRDefault="00063AD3" w:rsidP="00E83557">
            <w:pPr>
              <w:jc w:val="center"/>
              <w:rPr>
                <w:rFonts w:ascii="Poppins" w:hAnsi="Poppins" w:cs="Poppins"/>
                <w:b/>
                <w:bCs/>
                <w:color w:val="060645"/>
              </w:rPr>
            </w:pPr>
            <w:r>
              <w:rPr>
                <w:rFonts w:ascii="Poppins" w:hAnsi="Poppins" w:cs="Poppins"/>
                <w:b/>
                <w:bCs/>
                <w:color w:val="060645"/>
              </w:rPr>
              <w:t>6</w:t>
            </w:r>
          </w:p>
        </w:tc>
      </w:tr>
      <w:tr w:rsidR="00437630" w:rsidRPr="00437630" w14:paraId="198C938A" w14:textId="77777777" w:rsidTr="00AF2617">
        <w:trPr>
          <w:trHeight w:val="409"/>
        </w:trPr>
        <w:tc>
          <w:tcPr>
            <w:tcW w:w="8217" w:type="dxa"/>
            <w:vAlign w:val="center"/>
          </w:tcPr>
          <w:p w14:paraId="742B66C3" w14:textId="2B2FD2FB" w:rsidR="00E83557" w:rsidRPr="00437630" w:rsidRDefault="00E83557" w:rsidP="00E83557">
            <w:pPr>
              <w:rPr>
                <w:rFonts w:ascii="Poppins" w:hAnsi="Poppins" w:cs="Poppins"/>
                <w:b/>
                <w:bCs/>
                <w:color w:val="060645"/>
              </w:rPr>
            </w:pPr>
            <w:r w:rsidRPr="00437630">
              <w:rPr>
                <w:rFonts w:ascii="Poppins" w:hAnsi="Poppins" w:cs="Poppins"/>
                <w:b/>
                <w:bCs/>
                <w:color w:val="060645"/>
              </w:rPr>
              <w:t xml:space="preserve">4.0 </w:t>
            </w:r>
            <w:r w:rsidR="003F19E9" w:rsidRPr="00437630">
              <w:rPr>
                <w:rFonts w:ascii="Poppins" w:hAnsi="Poppins" w:cs="Poppins"/>
                <w:b/>
                <w:bCs/>
                <w:color w:val="060645"/>
              </w:rPr>
              <w:t>Employee</w:t>
            </w:r>
            <w:r w:rsidRPr="00437630">
              <w:rPr>
                <w:rFonts w:ascii="Poppins" w:hAnsi="Poppins" w:cs="Poppins"/>
                <w:b/>
                <w:bCs/>
                <w:color w:val="060645"/>
              </w:rPr>
              <w:t xml:space="preserve"> hire agreement</w:t>
            </w:r>
          </w:p>
        </w:tc>
        <w:tc>
          <w:tcPr>
            <w:tcW w:w="799" w:type="dxa"/>
            <w:vAlign w:val="center"/>
          </w:tcPr>
          <w:p w14:paraId="40124FCF" w14:textId="5E582A23" w:rsidR="00E83557" w:rsidRPr="00437630" w:rsidRDefault="00063AD3" w:rsidP="00E83557">
            <w:pPr>
              <w:jc w:val="center"/>
              <w:rPr>
                <w:rFonts w:ascii="Poppins" w:hAnsi="Poppins" w:cs="Poppins"/>
                <w:b/>
                <w:bCs/>
                <w:color w:val="060645"/>
              </w:rPr>
            </w:pPr>
            <w:r>
              <w:rPr>
                <w:rFonts w:ascii="Poppins" w:hAnsi="Poppins" w:cs="Poppins"/>
                <w:b/>
                <w:bCs/>
                <w:color w:val="060645"/>
              </w:rPr>
              <w:t>6</w:t>
            </w:r>
          </w:p>
        </w:tc>
      </w:tr>
      <w:tr w:rsidR="00437630" w:rsidRPr="00437630" w14:paraId="7539A2F7" w14:textId="77777777" w:rsidTr="00AF2617">
        <w:trPr>
          <w:trHeight w:val="429"/>
        </w:trPr>
        <w:tc>
          <w:tcPr>
            <w:tcW w:w="8217" w:type="dxa"/>
            <w:vAlign w:val="center"/>
          </w:tcPr>
          <w:p w14:paraId="6B5DBB5D" w14:textId="64E19494" w:rsidR="00E83557" w:rsidRPr="00437630" w:rsidRDefault="00E83557" w:rsidP="00E83557">
            <w:pPr>
              <w:pStyle w:val="ListParagraph"/>
              <w:rPr>
                <w:rFonts w:ascii="Poppins" w:hAnsi="Poppins" w:cs="Poppins"/>
                <w:color w:val="060645"/>
              </w:rPr>
            </w:pPr>
            <w:r w:rsidRPr="00437630">
              <w:rPr>
                <w:rFonts w:ascii="Poppins" w:hAnsi="Poppins" w:cs="Poppins"/>
                <w:color w:val="060645"/>
              </w:rPr>
              <w:t>4.1 During the agreement</w:t>
            </w:r>
          </w:p>
        </w:tc>
        <w:tc>
          <w:tcPr>
            <w:tcW w:w="799" w:type="dxa"/>
            <w:vAlign w:val="center"/>
          </w:tcPr>
          <w:p w14:paraId="05E9CBBC" w14:textId="2331AC39" w:rsidR="00E83557" w:rsidRPr="00437630" w:rsidRDefault="00063AD3" w:rsidP="00E83557">
            <w:pPr>
              <w:jc w:val="center"/>
              <w:rPr>
                <w:rFonts w:ascii="Poppins" w:hAnsi="Poppins" w:cs="Poppins"/>
                <w:b/>
                <w:bCs/>
                <w:color w:val="060645"/>
              </w:rPr>
            </w:pPr>
            <w:r>
              <w:rPr>
                <w:rFonts w:ascii="Poppins" w:hAnsi="Poppins" w:cs="Poppins"/>
                <w:b/>
                <w:bCs/>
                <w:color w:val="060645"/>
              </w:rPr>
              <w:t>7</w:t>
            </w:r>
          </w:p>
        </w:tc>
      </w:tr>
      <w:tr w:rsidR="00437630" w:rsidRPr="00437630" w14:paraId="26E429DB" w14:textId="77777777" w:rsidTr="00AF2617">
        <w:trPr>
          <w:trHeight w:val="407"/>
        </w:trPr>
        <w:tc>
          <w:tcPr>
            <w:tcW w:w="8217" w:type="dxa"/>
            <w:vAlign w:val="center"/>
          </w:tcPr>
          <w:p w14:paraId="17DE1836" w14:textId="64BDA67F" w:rsidR="00E83557" w:rsidRPr="00437630" w:rsidRDefault="00E83557" w:rsidP="00E83557">
            <w:pPr>
              <w:pStyle w:val="ListParagraph"/>
              <w:rPr>
                <w:rFonts w:ascii="Poppins" w:hAnsi="Poppins" w:cs="Poppins"/>
                <w:color w:val="060645"/>
              </w:rPr>
            </w:pPr>
            <w:r w:rsidRPr="00437630">
              <w:rPr>
                <w:rFonts w:ascii="Poppins" w:hAnsi="Poppins" w:cs="Poppins"/>
                <w:color w:val="060645"/>
              </w:rPr>
              <w:t xml:space="preserve">4.2. Withdrawal </w:t>
            </w:r>
            <w:r w:rsidR="002748E1" w:rsidRPr="00437630">
              <w:rPr>
                <w:rFonts w:ascii="Poppins" w:hAnsi="Poppins" w:cs="Poppins"/>
                <w:color w:val="060645"/>
              </w:rPr>
              <w:t xml:space="preserve">from </w:t>
            </w:r>
            <w:r w:rsidRPr="00437630">
              <w:rPr>
                <w:rFonts w:ascii="Poppins" w:hAnsi="Poppins" w:cs="Poppins"/>
                <w:color w:val="060645"/>
              </w:rPr>
              <w:t>the agreement</w:t>
            </w:r>
          </w:p>
        </w:tc>
        <w:tc>
          <w:tcPr>
            <w:tcW w:w="799" w:type="dxa"/>
            <w:vAlign w:val="center"/>
          </w:tcPr>
          <w:p w14:paraId="3E5390BB" w14:textId="3C31E0C8" w:rsidR="00E83557" w:rsidRPr="00437630" w:rsidRDefault="00063AD3" w:rsidP="00E83557">
            <w:pPr>
              <w:jc w:val="center"/>
              <w:rPr>
                <w:rFonts w:ascii="Poppins" w:hAnsi="Poppins" w:cs="Poppins"/>
                <w:b/>
                <w:bCs/>
                <w:color w:val="060645"/>
              </w:rPr>
            </w:pPr>
            <w:r>
              <w:rPr>
                <w:rFonts w:ascii="Poppins" w:hAnsi="Poppins" w:cs="Poppins"/>
                <w:b/>
                <w:bCs/>
                <w:color w:val="060645"/>
              </w:rPr>
              <w:t>7</w:t>
            </w:r>
          </w:p>
        </w:tc>
      </w:tr>
      <w:tr w:rsidR="00437630" w:rsidRPr="00437630" w14:paraId="6F007F5A" w14:textId="77777777" w:rsidTr="00AF2617">
        <w:trPr>
          <w:trHeight w:val="426"/>
        </w:trPr>
        <w:tc>
          <w:tcPr>
            <w:tcW w:w="8217" w:type="dxa"/>
            <w:vAlign w:val="center"/>
          </w:tcPr>
          <w:p w14:paraId="20698E0D" w14:textId="2E063608" w:rsidR="00E83557" w:rsidRPr="00437630" w:rsidRDefault="00E83557" w:rsidP="00E83557">
            <w:pPr>
              <w:pStyle w:val="ListParagraph"/>
              <w:rPr>
                <w:rFonts w:ascii="Poppins" w:hAnsi="Poppins" w:cs="Poppins"/>
                <w:color w:val="060645"/>
              </w:rPr>
            </w:pPr>
            <w:r w:rsidRPr="00437630">
              <w:rPr>
                <w:rFonts w:ascii="Poppins" w:hAnsi="Poppins" w:cs="Poppins"/>
                <w:color w:val="060645"/>
              </w:rPr>
              <w:t>4.3. Cancelation of the agreement</w:t>
            </w:r>
          </w:p>
        </w:tc>
        <w:tc>
          <w:tcPr>
            <w:tcW w:w="799" w:type="dxa"/>
            <w:vAlign w:val="center"/>
          </w:tcPr>
          <w:p w14:paraId="0C7B3DDA" w14:textId="06DC6C6C" w:rsidR="00E83557" w:rsidRPr="00437630" w:rsidRDefault="00063AD3" w:rsidP="00E83557">
            <w:pPr>
              <w:jc w:val="center"/>
              <w:rPr>
                <w:rFonts w:ascii="Poppins" w:hAnsi="Poppins" w:cs="Poppins"/>
                <w:b/>
                <w:bCs/>
                <w:color w:val="060645"/>
              </w:rPr>
            </w:pPr>
            <w:r>
              <w:rPr>
                <w:rFonts w:ascii="Poppins" w:hAnsi="Poppins" w:cs="Poppins"/>
                <w:b/>
                <w:bCs/>
                <w:color w:val="060645"/>
              </w:rPr>
              <w:t>8</w:t>
            </w:r>
          </w:p>
        </w:tc>
      </w:tr>
      <w:tr w:rsidR="00437630" w:rsidRPr="00437630" w14:paraId="039B7D2F" w14:textId="77777777" w:rsidTr="00AF2617">
        <w:trPr>
          <w:trHeight w:val="405"/>
        </w:trPr>
        <w:tc>
          <w:tcPr>
            <w:tcW w:w="8217" w:type="dxa"/>
            <w:vAlign w:val="center"/>
          </w:tcPr>
          <w:p w14:paraId="2042013E" w14:textId="3B8E33F3" w:rsidR="00E83557" w:rsidRPr="00437630" w:rsidRDefault="00E83557" w:rsidP="00E83557">
            <w:pPr>
              <w:pStyle w:val="ListParagraph"/>
              <w:rPr>
                <w:rFonts w:ascii="Poppins" w:hAnsi="Poppins" w:cs="Poppins"/>
                <w:color w:val="060645"/>
              </w:rPr>
            </w:pPr>
            <w:r w:rsidRPr="00437630">
              <w:rPr>
                <w:rFonts w:ascii="Poppins" w:hAnsi="Poppins" w:cs="Poppins"/>
                <w:color w:val="060645"/>
              </w:rPr>
              <w:t>4.4 End of the agreement</w:t>
            </w:r>
          </w:p>
        </w:tc>
        <w:tc>
          <w:tcPr>
            <w:tcW w:w="799" w:type="dxa"/>
            <w:vAlign w:val="center"/>
          </w:tcPr>
          <w:p w14:paraId="1F365D06" w14:textId="6F611069" w:rsidR="00E83557" w:rsidRPr="00437630" w:rsidRDefault="00063AD3" w:rsidP="00E83557">
            <w:pPr>
              <w:jc w:val="center"/>
              <w:rPr>
                <w:rFonts w:ascii="Poppins" w:hAnsi="Poppins" w:cs="Poppins"/>
                <w:b/>
                <w:bCs/>
                <w:color w:val="060645"/>
              </w:rPr>
            </w:pPr>
            <w:r>
              <w:rPr>
                <w:rFonts w:ascii="Poppins" w:hAnsi="Poppins" w:cs="Poppins"/>
                <w:b/>
                <w:bCs/>
                <w:color w:val="060645"/>
              </w:rPr>
              <w:t>8</w:t>
            </w:r>
          </w:p>
        </w:tc>
      </w:tr>
      <w:tr w:rsidR="00437630" w:rsidRPr="00437630" w14:paraId="03493922" w14:textId="77777777" w:rsidTr="00AF2617">
        <w:trPr>
          <w:trHeight w:val="425"/>
        </w:trPr>
        <w:tc>
          <w:tcPr>
            <w:tcW w:w="8217" w:type="dxa"/>
            <w:vAlign w:val="center"/>
          </w:tcPr>
          <w:p w14:paraId="1E51DB19" w14:textId="4747DAA2" w:rsidR="00E83557" w:rsidRPr="00437630" w:rsidRDefault="00E83557" w:rsidP="00E83557">
            <w:pPr>
              <w:rPr>
                <w:rFonts w:ascii="Poppins" w:hAnsi="Poppins" w:cs="Poppins"/>
                <w:b/>
                <w:bCs/>
                <w:color w:val="060645"/>
              </w:rPr>
            </w:pPr>
            <w:r w:rsidRPr="00437630">
              <w:rPr>
                <w:rFonts w:ascii="Poppins" w:hAnsi="Poppins" w:cs="Poppins"/>
                <w:b/>
                <w:bCs/>
                <w:color w:val="060645"/>
              </w:rPr>
              <w:t xml:space="preserve">5.0 </w:t>
            </w:r>
            <w:r w:rsidR="004155C9" w:rsidRPr="00437630">
              <w:rPr>
                <w:rFonts w:ascii="Poppins" w:hAnsi="Poppins" w:cs="Poppins"/>
                <w:b/>
                <w:bCs/>
                <w:color w:val="060645"/>
              </w:rPr>
              <w:t>Useful</w:t>
            </w:r>
            <w:r w:rsidRPr="00437630">
              <w:rPr>
                <w:rFonts w:ascii="Poppins" w:hAnsi="Poppins" w:cs="Poppins"/>
                <w:b/>
                <w:bCs/>
                <w:color w:val="060645"/>
              </w:rPr>
              <w:t xml:space="preserve"> information for advice</w:t>
            </w:r>
          </w:p>
        </w:tc>
        <w:tc>
          <w:tcPr>
            <w:tcW w:w="799" w:type="dxa"/>
            <w:vAlign w:val="center"/>
          </w:tcPr>
          <w:p w14:paraId="454F0395" w14:textId="64F092B1" w:rsidR="00E83557" w:rsidRPr="00437630" w:rsidRDefault="00A5230C" w:rsidP="00E83557">
            <w:pPr>
              <w:jc w:val="center"/>
              <w:rPr>
                <w:rFonts w:ascii="Poppins" w:hAnsi="Poppins" w:cs="Poppins"/>
                <w:b/>
                <w:bCs/>
                <w:color w:val="060645"/>
              </w:rPr>
            </w:pPr>
            <w:r>
              <w:rPr>
                <w:rFonts w:ascii="Poppins" w:hAnsi="Poppins" w:cs="Poppins"/>
                <w:b/>
                <w:bCs/>
                <w:color w:val="060645"/>
              </w:rPr>
              <w:t>9</w:t>
            </w:r>
          </w:p>
        </w:tc>
      </w:tr>
    </w:tbl>
    <w:p w14:paraId="3D6085E2" w14:textId="77777777" w:rsidR="00CD33C8" w:rsidRPr="00437630" w:rsidRDefault="00CD33C8" w:rsidP="00AF2617">
      <w:pPr>
        <w:rPr>
          <w:rFonts w:ascii="Poppins" w:hAnsi="Poppins" w:cs="Poppins"/>
          <w:color w:val="060645"/>
        </w:rPr>
      </w:pPr>
    </w:p>
    <w:p w14:paraId="3AFCFD41" w14:textId="77777777" w:rsidR="00CD33C8" w:rsidRPr="00CD33C8" w:rsidRDefault="00CD33C8" w:rsidP="00AF2617">
      <w:pPr>
        <w:rPr>
          <w:rFonts w:ascii="Arial" w:hAnsi="Arial" w:cs="Arial"/>
          <w:sz w:val="20"/>
          <w:szCs w:val="20"/>
        </w:rPr>
      </w:pPr>
    </w:p>
    <w:p w14:paraId="168C6B66" w14:textId="77777777" w:rsidR="00CD33C8" w:rsidRPr="00CD33C8" w:rsidRDefault="00CD33C8" w:rsidP="00AF2617">
      <w:pPr>
        <w:rPr>
          <w:rFonts w:ascii="Arial" w:hAnsi="Arial" w:cs="Arial"/>
          <w:sz w:val="20"/>
          <w:szCs w:val="20"/>
        </w:rPr>
      </w:pPr>
    </w:p>
    <w:p w14:paraId="2400F828" w14:textId="77777777" w:rsidR="00CD33C8" w:rsidRPr="00CD33C8" w:rsidRDefault="00CD33C8" w:rsidP="00AF2617">
      <w:pPr>
        <w:rPr>
          <w:rFonts w:ascii="Arial" w:hAnsi="Arial" w:cs="Arial"/>
          <w:sz w:val="20"/>
          <w:szCs w:val="20"/>
        </w:rPr>
      </w:pPr>
    </w:p>
    <w:p w14:paraId="543CD0AD" w14:textId="77777777" w:rsidR="00CD33C8" w:rsidRPr="00CD33C8" w:rsidRDefault="00CD33C8" w:rsidP="00AF2617">
      <w:pPr>
        <w:rPr>
          <w:rFonts w:ascii="Arial" w:hAnsi="Arial" w:cs="Arial"/>
          <w:sz w:val="20"/>
          <w:szCs w:val="20"/>
        </w:rPr>
      </w:pPr>
    </w:p>
    <w:p w14:paraId="3C1E54E4" w14:textId="77777777" w:rsidR="00CD33C8" w:rsidRDefault="00CD33C8" w:rsidP="00AF2617">
      <w:pPr>
        <w:rPr>
          <w:rFonts w:ascii="Arial" w:hAnsi="Arial" w:cs="Arial"/>
          <w:b/>
          <w:bCs/>
          <w:sz w:val="20"/>
          <w:szCs w:val="20"/>
        </w:rPr>
      </w:pPr>
    </w:p>
    <w:p w14:paraId="72AB72B6" w14:textId="77777777" w:rsidR="00CD33C8" w:rsidRDefault="00CD33C8" w:rsidP="00AF2617">
      <w:pPr>
        <w:rPr>
          <w:rFonts w:ascii="Arial" w:hAnsi="Arial" w:cs="Arial"/>
          <w:b/>
          <w:bCs/>
          <w:sz w:val="20"/>
          <w:szCs w:val="20"/>
        </w:rPr>
      </w:pPr>
    </w:p>
    <w:p w14:paraId="365C9FB0" w14:textId="77777777" w:rsidR="00CD33C8" w:rsidRDefault="00CD33C8" w:rsidP="00AF2617">
      <w:pPr>
        <w:tabs>
          <w:tab w:val="left" w:pos="3792"/>
        </w:tabs>
        <w:rPr>
          <w:rFonts w:ascii="Arial" w:hAnsi="Arial" w:cs="Arial"/>
          <w:sz w:val="20"/>
          <w:szCs w:val="20"/>
        </w:rPr>
      </w:pPr>
      <w:r>
        <w:rPr>
          <w:rFonts w:ascii="Arial" w:hAnsi="Arial" w:cs="Arial"/>
          <w:sz w:val="20"/>
          <w:szCs w:val="20"/>
        </w:rPr>
        <w:tab/>
      </w:r>
    </w:p>
    <w:p w14:paraId="1A66E840" w14:textId="77777777" w:rsidR="00CD33C8" w:rsidRDefault="00CD33C8" w:rsidP="00AF2617">
      <w:pPr>
        <w:rPr>
          <w:rFonts w:ascii="Arial" w:hAnsi="Arial" w:cs="Arial"/>
          <w:sz w:val="20"/>
          <w:szCs w:val="20"/>
        </w:rPr>
      </w:pPr>
      <w:r>
        <w:rPr>
          <w:rFonts w:ascii="Arial" w:hAnsi="Arial" w:cs="Arial"/>
          <w:sz w:val="20"/>
          <w:szCs w:val="20"/>
        </w:rPr>
        <w:br w:type="page"/>
      </w:r>
    </w:p>
    <w:p w14:paraId="78E89366" w14:textId="20D0D389" w:rsidR="00CD33C8" w:rsidRPr="00437630" w:rsidRDefault="00DB4873" w:rsidP="00AF2617">
      <w:pPr>
        <w:pStyle w:val="ListParagraph"/>
        <w:numPr>
          <w:ilvl w:val="0"/>
          <w:numId w:val="12"/>
        </w:numPr>
        <w:rPr>
          <w:rFonts w:ascii="Poppins" w:hAnsi="Poppins" w:cs="Poppins"/>
          <w:b/>
          <w:bCs/>
          <w:color w:val="060645"/>
        </w:rPr>
      </w:pPr>
      <w:r w:rsidRPr="00437630">
        <w:rPr>
          <w:rFonts w:ascii="Poppins" w:hAnsi="Poppins" w:cs="Poppins"/>
          <w:b/>
          <w:bCs/>
          <w:color w:val="060645"/>
        </w:rPr>
        <w:lastRenderedPageBreak/>
        <w:t xml:space="preserve"> </w:t>
      </w:r>
      <w:r w:rsidR="00CD33C8" w:rsidRPr="00437630">
        <w:rPr>
          <w:rFonts w:ascii="Poppins" w:hAnsi="Poppins" w:cs="Poppins"/>
          <w:b/>
          <w:bCs/>
          <w:color w:val="060645"/>
        </w:rPr>
        <w:t>Introduction</w:t>
      </w:r>
    </w:p>
    <w:p w14:paraId="0D6B9A15" w14:textId="6E78C5C6" w:rsidR="008B7EBB" w:rsidRPr="00437630" w:rsidRDefault="008B7EBB" w:rsidP="00AF2617">
      <w:pPr>
        <w:ind w:left="360"/>
        <w:jc w:val="both"/>
        <w:rPr>
          <w:rFonts w:ascii="Poppins" w:hAnsi="Poppins" w:cs="Poppins"/>
          <w:color w:val="060645"/>
        </w:rPr>
      </w:pPr>
      <w:r w:rsidRPr="00437630">
        <w:rPr>
          <w:rFonts w:ascii="Poppins" w:hAnsi="Poppins" w:cs="Poppins"/>
          <w:color w:val="060645"/>
        </w:rPr>
        <w:t>The Government</w:t>
      </w:r>
      <w:r w:rsidR="001B452C" w:rsidRPr="00437630">
        <w:rPr>
          <w:rFonts w:ascii="Poppins" w:hAnsi="Poppins" w:cs="Poppins"/>
          <w:color w:val="060645"/>
        </w:rPr>
        <w:t>’s</w:t>
      </w:r>
      <w:r w:rsidRPr="00437630">
        <w:rPr>
          <w:rFonts w:ascii="Poppins" w:hAnsi="Poppins" w:cs="Poppins"/>
          <w:color w:val="060645"/>
        </w:rPr>
        <w:t xml:space="preserve"> ambition is to increase levels of active travel, such as cycling. For individuals it means cheaper travel and better health. For businesses, it means increased productivity. And for society </w:t>
      </w:r>
      <w:r w:rsidR="0020010A" w:rsidRPr="00437630">
        <w:rPr>
          <w:rFonts w:ascii="Poppins" w:hAnsi="Poppins" w:cs="Poppins"/>
          <w:color w:val="060645"/>
        </w:rPr>
        <w:t>it</w:t>
      </w:r>
      <w:r w:rsidRPr="00437630">
        <w:rPr>
          <w:rFonts w:ascii="Poppins" w:hAnsi="Poppins" w:cs="Poppins"/>
          <w:color w:val="060645"/>
        </w:rPr>
        <w:t xml:space="preserve"> means lower congestion and better air quality. </w:t>
      </w:r>
    </w:p>
    <w:p w14:paraId="7402CC00" w14:textId="55B3166E" w:rsidR="008B7EBB" w:rsidRPr="00437630" w:rsidRDefault="008B7EBB" w:rsidP="00AF2617">
      <w:pPr>
        <w:ind w:left="360"/>
        <w:jc w:val="both"/>
        <w:rPr>
          <w:rFonts w:ascii="Poppins" w:hAnsi="Poppins" w:cs="Poppins"/>
          <w:color w:val="060645"/>
        </w:rPr>
      </w:pPr>
      <w:r w:rsidRPr="00437630">
        <w:rPr>
          <w:rFonts w:ascii="Poppins" w:hAnsi="Poppins" w:cs="Poppins"/>
          <w:color w:val="060645"/>
        </w:rPr>
        <w:t xml:space="preserve">The Cycle to Work schemes have involved over 40,000 employers across the country and has contributed to </w:t>
      </w:r>
      <w:r w:rsidR="002748E1" w:rsidRPr="00437630">
        <w:rPr>
          <w:rFonts w:ascii="Poppins" w:hAnsi="Poppins" w:cs="Poppins"/>
          <w:color w:val="060645"/>
        </w:rPr>
        <w:t xml:space="preserve">enabling </w:t>
      </w:r>
      <w:r w:rsidRPr="00437630">
        <w:rPr>
          <w:rFonts w:ascii="Poppins" w:hAnsi="Poppins" w:cs="Poppins"/>
          <w:color w:val="060645"/>
        </w:rPr>
        <w:t>more than</w:t>
      </w:r>
      <w:r w:rsidR="00303900" w:rsidRPr="00437630">
        <w:rPr>
          <w:rFonts w:ascii="Poppins" w:hAnsi="Poppins" w:cs="Poppins"/>
          <w:color w:val="060645"/>
        </w:rPr>
        <w:t xml:space="preserve"> </w:t>
      </w:r>
      <w:r w:rsidRPr="00437630">
        <w:rPr>
          <w:rFonts w:ascii="Poppins" w:hAnsi="Poppins" w:cs="Poppins"/>
          <w:color w:val="060645"/>
        </w:rPr>
        <w:t xml:space="preserve">1.6 million commuters to cycle to work (according to the Department of Transport). </w:t>
      </w:r>
    </w:p>
    <w:p w14:paraId="4F3BAD40" w14:textId="6BEFD7F6" w:rsidR="00C33214" w:rsidRPr="00437630" w:rsidRDefault="00C33214" w:rsidP="00C33214">
      <w:pPr>
        <w:ind w:left="360"/>
        <w:jc w:val="both"/>
        <w:rPr>
          <w:rFonts w:ascii="Poppins" w:hAnsi="Poppins" w:cs="Poppins"/>
          <w:color w:val="060645"/>
        </w:rPr>
      </w:pPr>
      <w:r w:rsidRPr="00437630">
        <w:rPr>
          <w:rFonts w:ascii="Poppins" w:hAnsi="Poppins" w:cs="Poppins"/>
          <w:color w:val="060645"/>
        </w:rPr>
        <w:t xml:space="preserve">You should know that this is a “bicycle hire scheme” and that you will not own the bicycle unless you wish to purchase it at the end of the hire agreement. Transferring ownership requires full settlement of the hire agreement. This mean that a “Tax” settlement value will need be determined based on the asset value of the bicycle at the time. You will be required to pay this Tax to the supplier before ownership of the bicycle is passed over. </w:t>
      </w:r>
    </w:p>
    <w:p w14:paraId="6B3CF379" w14:textId="1DF20A45" w:rsidR="00155E0B" w:rsidRPr="00437630" w:rsidRDefault="00155E0B" w:rsidP="00C33214">
      <w:pPr>
        <w:ind w:left="360"/>
        <w:jc w:val="both"/>
        <w:rPr>
          <w:rFonts w:ascii="Poppins" w:hAnsi="Poppins" w:cs="Poppins"/>
          <w:color w:val="060645"/>
        </w:rPr>
      </w:pPr>
      <w:r w:rsidRPr="00437630">
        <w:rPr>
          <w:rFonts w:ascii="Poppins" w:hAnsi="Poppins" w:cs="Poppins"/>
          <w:color w:val="060645"/>
        </w:rPr>
        <w:t>Note: The bicycle remains the property of the OU until the hire agreement is complete and Cycle</w:t>
      </w:r>
      <w:r w:rsidR="00B4091A" w:rsidRPr="00437630">
        <w:rPr>
          <w:rFonts w:ascii="Poppins" w:hAnsi="Poppins" w:cs="Poppins"/>
          <w:color w:val="060645"/>
        </w:rPr>
        <w:t>s</w:t>
      </w:r>
      <w:r w:rsidRPr="00437630">
        <w:rPr>
          <w:rFonts w:ascii="Poppins" w:hAnsi="Poppins" w:cs="Poppins"/>
          <w:color w:val="060645"/>
        </w:rPr>
        <w:t>cheme formally transfer ownership to you.</w:t>
      </w:r>
    </w:p>
    <w:p w14:paraId="2A591AEE" w14:textId="46B73E85" w:rsidR="00721889" w:rsidRPr="00437630" w:rsidRDefault="00CD33C8" w:rsidP="00AF2617">
      <w:pPr>
        <w:ind w:left="360"/>
        <w:jc w:val="both"/>
        <w:rPr>
          <w:rFonts w:ascii="Poppins" w:hAnsi="Poppins" w:cs="Poppins"/>
          <w:color w:val="060645"/>
        </w:rPr>
      </w:pPr>
      <w:r w:rsidRPr="00437630">
        <w:rPr>
          <w:rFonts w:ascii="Poppins" w:hAnsi="Poppins" w:cs="Poppins"/>
          <w:color w:val="060645"/>
        </w:rPr>
        <w:t xml:space="preserve">This document offers guidance to employees on Cyclescheme. It will </w:t>
      </w:r>
      <w:r w:rsidR="00721889" w:rsidRPr="00437630">
        <w:rPr>
          <w:rFonts w:ascii="Poppins" w:hAnsi="Poppins" w:cs="Poppins"/>
          <w:color w:val="060645"/>
        </w:rPr>
        <w:t xml:space="preserve">clarify </w:t>
      </w:r>
      <w:r w:rsidR="002748E1" w:rsidRPr="00437630">
        <w:rPr>
          <w:rFonts w:ascii="Poppins" w:hAnsi="Poppins" w:cs="Poppins"/>
          <w:color w:val="060645"/>
        </w:rPr>
        <w:t xml:space="preserve">the latest </w:t>
      </w:r>
      <w:r w:rsidR="00721889" w:rsidRPr="00437630">
        <w:rPr>
          <w:rFonts w:ascii="Poppins" w:hAnsi="Poppins" w:cs="Poppins"/>
          <w:color w:val="060645"/>
        </w:rPr>
        <w:t>updates and benefits</w:t>
      </w:r>
      <w:r w:rsidRPr="00437630">
        <w:rPr>
          <w:rFonts w:ascii="Poppins" w:hAnsi="Poppins" w:cs="Poppins"/>
          <w:color w:val="060645"/>
        </w:rPr>
        <w:t xml:space="preserve"> to enable employees to hire</w:t>
      </w:r>
      <w:r w:rsidR="002748E1" w:rsidRPr="00437630">
        <w:rPr>
          <w:rFonts w:ascii="Poppins" w:hAnsi="Poppins" w:cs="Poppins"/>
          <w:color w:val="060645"/>
        </w:rPr>
        <w:t xml:space="preserve"> bi</w:t>
      </w:r>
      <w:r w:rsidRPr="00437630">
        <w:rPr>
          <w:rFonts w:ascii="Poppins" w:hAnsi="Poppins" w:cs="Poppins"/>
          <w:color w:val="060645"/>
        </w:rPr>
        <w:t xml:space="preserve">cycles for </w:t>
      </w:r>
      <w:r w:rsidR="00721889" w:rsidRPr="00437630">
        <w:rPr>
          <w:rFonts w:ascii="Poppins" w:hAnsi="Poppins" w:cs="Poppins"/>
          <w:color w:val="060645"/>
        </w:rPr>
        <w:t xml:space="preserve">active travel and/or safety equipment, </w:t>
      </w:r>
      <w:r w:rsidR="00504892" w:rsidRPr="00437630">
        <w:rPr>
          <w:rFonts w:ascii="Poppins" w:hAnsi="Poppins" w:cs="Poppins"/>
          <w:color w:val="060645"/>
        </w:rPr>
        <w:t>as well as</w:t>
      </w:r>
      <w:r w:rsidR="00721889" w:rsidRPr="00437630">
        <w:rPr>
          <w:rFonts w:ascii="Poppins" w:hAnsi="Poppins" w:cs="Poppins"/>
          <w:color w:val="060645"/>
        </w:rPr>
        <w:t xml:space="preserve"> </w:t>
      </w:r>
      <w:r w:rsidR="00504892" w:rsidRPr="00437630">
        <w:rPr>
          <w:rFonts w:ascii="Poppins" w:hAnsi="Poppins" w:cs="Poppins"/>
          <w:color w:val="060645"/>
        </w:rPr>
        <w:t>an</w:t>
      </w:r>
      <w:r w:rsidR="00155E0B" w:rsidRPr="00437630">
        <w:rPr>
          <w:rFonts w:ascii="Poppins" w:hAnsi="Poppins" w:cs="Poppins"/>
          <w:color w:val="060645"/>
        </w:rPr>
        <w:t>y</w:t>
      </w:r>
      <w:r w:rsidR="00504892" w:rsidRPr="00437630">
        <w:rPr>
          <w:rFonts w:ascii="Poppins" w:hAnsi="Poppins" w:cs="Poppins"/>
          <w:color w:val="060645"/>
        </w:rPr>
        <w:t xml:space="preserve"> </w:t>
      </w:r>
      <w:r w:rsidR="002748E1" w:rsidRPr="00437630">
        <w:rPr>
          <w:rFonts w:ascii="Poppins" w:hAnsi="Poppins" w:cs="Poppins"/>
          <w:color w:val="060645"/>
        </w:rPr>
        <w:t>insurance</w:t>
      </w:r>
      <w:r w:rsidR="00504892" w:rsidRPr="00437630">
        <w:rPr>
          <w:rFonts w:ascii="Poppins" w:hAnsi="Poppins" w:cs="Poppins"/>
          <w:color w:val="060645"/>
        </w:rPr>
        <w:t xml:space="preserve"> considerations</w:t>
      </w:r>
      <w:r w:rsidR="002748E1" w:rsidRPr="00437630">
        <w:rPr>
          <w:rFonts w:ascii="Poppins" w:hAnsi="Poppins" w:cs="Poppins"/>
          <w:color w:val="060645"/>
        </w:rPr>
        <w:t xml:space="preserve"> </w:t>
      </w:r>
      <w:r w:rsidR="00721889" w:rsidRPr="00437630">
        <w:rPr>
          <w:rFonts w:ascii="Poppins" w:hAnsi="Poppins" w:cs="Poppins"/>
          <w:color w:val="060645"/>
        </w:rPr>
        <w:t>from a third party</w:t>
      </w:r>
      <w:r w:rsidR="00504892" w:rsidRPr="00437630">
        <w:rPr>
          <w:rFonts w:ascii="Poppins" w:hAnsi="Poppins" w:cs="Poppins"/>
          <w:color w:val="060645"/>
        </w:rPr>
        <w:t>. All of this is available through</w:t>
      </w:r>
      <w:r w:rsidR="00721889" w:rsidRPr="00437630">
        <w:rPr>
          <w:rFonts w:ascii="Poppins" w:hAnsi="Poppins" w:cs="Poppins"/>
          <w:color w:val="060645"/>
        </w:rPr>
        <w:t xml:space="preserve"> a deduction from earnings known as salary sacrifice. This document will outline tax and legal guidance on how the scheme typically operates. </w:t>
      </w:r>
    </w:p>
    <w:p w14:paraId="7EE63D11" w14:textId="2FD44519" w:rsidR="007F5E6B" w:rsidRPr="00437630" w:rsidRDefault="007F5E6B" w:rsidP="00AF2617">
      <w:pPr>
        <w:ind w:left="360"/>
        <w:jc w:val="both"/>
        <w:rPr>
          <w:rFonts w:ascii="Poppins" w:hAnsi="Poppins" w:cs="Poppins"/>
          <w:color w:val="060645"/>
        </w:rPr>
      </w:pPr>
      <w:r w:rsidRPr="00437630">
        <w:rPr>
          <w:rFonts w:ascii="Poppins" w:hAnsi="Poppins" w:cs="Poppins"/>
          <w:color w:val="060645"/>
        </w:rPr>
        <w:t xml:space="preserve">Please note, the Open University may update this guidance from time to time, to reflect any changes made by the government to the cycle to work scheme. </w:t>
      </w:r>
    </w:p>
    <w:p w14:paraId="376AEAE9" w14:textId="77777777" w:rsidR="00CD33C8" w:rsidRPr="00437630" w:rsidRDefault="00CD33C8" w:rsidP="00AF2617">
      <w:pPr>
        <w:rPr>
          <w:rFonts w:ascii="Arial" w:hAnsi="Arial" w:cs="Arial"/>
        </w:rPr>
      </w:pPr>
    </w:p>
    <w:p w14:paraId="1BC2CD4E" w14:textId="77777777" w:rsidR="00CD33C8" w:rsidRPr="00437630" w:rsidRDefault="00CD33C8" w:rsidP="00AF2617">
      <w:pPr>
        <w:tabs>
          <w:tab w:val="left" w:pos="3792"/>
        </w:tabs>
        <w:rPr>
          <w:rFonts w:ascii="Arial" w:hAnsi="Arial" w:cs="Arial"/>
        </w:rPr>
      </w:pPr>
    </w:p>
    <w:p w14:paraId="31734AEB" w14:textId="3E4EE04B" w:rsidR="0010325D" w:rsidRPr="00437630" w:rsidRDefault="0010325D" w:rsidP="00AF2617">
      <w:pPr>
        <w:rPr>
          <w:rFonts w:ascii="Arial" w:hAnsi="Arial" w:cs="Arial"/>
        </w:rPr>
      </w:pPr>
      <w:r w:rsidRPr="00437630">
        <w:rPr>
          <w:rFonts w:ascii="Arial" w:hAnsi="Arial" w:cs="Arial"/>
        </w:rPr>
        <w:br w:type="page"/>
      </w:r>
    </w:p>
    <w:p w14:paraId="14ED4060" w14:textId="16A06B7B" w:rsidR="0010325D" w:rsidRPr="00437630" w:rsidRDefault="00DB4873" w:rsidP="00AF2617">
      <w:pPr>
        <w:pStyle w:val="ListParagraph"/>
        <w:numPr>
          <w:ilvl w:val="0"/>
          <w:numId w:val="11"/>
        </w:numPr>
        <w:rPr>
          <w:rFonts w:ascii="Poppins" w:hAnsi="Poppins" w:cs="Poppins"/>
          <w:b/>
          <w:bCs/>
          <w:color w:val="060645"/>
        </w:rPr>
      </w:pPr>
      <w:bookmarkStart w:id="0" w:name="_Hlk54873269"/>
      <w:r w:rsidRPr="00437630">
        <w:rPr>
          <w:rFonts w:ascii="Poppins" w:hAnsi="Poppins" w:cs="Poppins"/>
          <w:b/>
          <w:bCs/>
          <w:color w:val="060645"/>
        </w:rPr>
        <w:lastRenderedPageBreak/>
        <w:t xml:space="preserve"> </w:t>
      </w:r>
      <w:r w:rsidR="0010325D" w:rsidRPr="00437630">
        <w:rPr>
          <w:rFonts w:ascii="Poppins" w:hAnsi="Poppins" w:cs="Poppins"/>
          <w:b/>
          <w:bCs/>
          <w:color w:val="060645"/>
        </w:rPr>
        <w:t>How Cyclescheme works</w:t>
      </w:r>
    </w:p>
    <w:bookmarkEnd w:id="0"/>
    <w:p w14:paraId="090C4B9F" w14:textId="5964BE1E" w:rsidR="0010325D" w:rsidRPr="00437630" w:rsidRDefault="0010325D" w:rsidP="00AF2617">
      <w:pPr>
        <w:rPr>
          <w:rFonts w:ascii="Poppins" w:hAnsi="Poppins" w:cs="Poppins"/>
          <w:color w:val="060645"/>
        </w:rPr>
      </w:pPr>
      <w:r w:rsidRPr="00437630">
        <w:rPr>
          <w:rFonts w:ascii="Poppins" w:hAnsi="Poppins" w:cs="Poppins"/>
          <w:color w:val="060645"/>
        </w:rPr>
        <w:t>Cyclescheme enables you to save 25</w:t>
      </w:r>
      <w:r w:rsidR="00504892" w:rsidRPr="00437630">
        <w:rPr>
          <w:rFonts w:ascii="Poppins" w:hAnsi="Poppins" w:cs="Poppins"/>
          <w:color w:val="060645"/>
        </w:rPr>
        <w:t>%</w:t>
      </w:r>
      <w:r w:rsidRPr="00437630">
        <w:rPr>
          <w:rFonts w:ascii="Poppins" w:hAnsi="Poppins" w:cs="Poppins"/>
          <w:color w:val="060645"/>
        </w:rPr>
        <w:t xml:space="preserve"> – 39% of the cost of a new bike and equipment whilst spreading the cost</w:t>
      </w:r>
      <w:r w:rsidR="00504892" w:rsidRPr="00437630">
        <w:rPr>
          <w:rFonts w:ascii="Poppins" w:hAnsi="Poppins" w:cs="Poppins"/>
          <w:color w:val="060645"/>
        </w:rPr>
        <w:t>s over a twelve-month period</w:t>
      </w:r>
      <w:r w:rsidRPr="00437630">
        <w:rPr>
          <w:rFonts w:ascii="Poppins" w:hAnsi="Poppins" w:cs="Poppins"/>
          <w:color w:val="060645"/>
        </w:rPr>
        <w:t xml:space="preserve">. Employers also benefit by being able to recover the cost of the bike back </w:t>
      </w:r>
      <w:r w:rsidR="00FA6738" w:rsidRPr="00437630">
        <w:rPr>
          <w:rFonts w:ascii="Poppins" w:hAnsi="Poppins" w:cs="Poppins"/>
          <w:color w:val="060645"/>
        </w:rPr>
        <w:t xml:space="preserve">from you </w:t>
      </w:r>
      <w:r w:rsidR="00504892" w:rsidRPr="00437630">
        <w:rPr>
          <w:rFonts w:ascii="Poppins" w:hAnsi="Poppins" w:cs="Poppins"/>
          <w:color w:val="060645"/>
        </w:rPr>
        <w:t>while</w:t>
      </w:r>
      <w:r w:rsidRPr="00437630">
        <w:rPr>
          <w:rFonts w:ascii="Poppins" w:hAnsi="Poppins" w:cs="Poppins"/>
          <w:color w:val="060645"/>
        </w:rPr>
        <w:t xml:space="preserve"> generat</w:t>
      </w:r>
      <w:r w:rsidR="00504892" w:rsidRPr="00437630">
        <w:rPr>
          <w:rFonts w:ascii="Poppins" w:hAnsi="Poppins" w:cs="Poppins"/>
          <w:color w:val="060645"/>
        </w:rPr>
        <w:t>ing</w:t>
      </w:r>
      <w:r w:rsidRPr="00437630">
        <w:rPr>
          <w:rFonts w:ascii="Poppins" w:hAnsi="Poppins" w:cs="Poppins"/>
          <w:color w:val="060645"/>
        </w:rPr>
        <w:t xml:space="preserve"> National Insurance Contributions (NICs) saving of up to 13.8% of th</w:t>
      </w:r>
      <w:r w:rsidR="00504892" w:rsidRPr="00437630">
        <w:rPr>
          <w:rFonts w:ascii="Poppins" w:hAnsi="Poppins" w:cs="Poppins"/>
          <w:color w:val="060645"/>
        </w:rPr>
        <w:t>e taxable</w:t>
      </w:r>
      <w:r w:rsidRPr="00437630">
        <w:rPr>
          <w:rFonts w:ascii="Poppins" w:hAnsi="Poppins" w:cs="Poppins"/>
          <w:color w:val="060645"/>
        </w:rPr>
        <w:t xml:space="preserve"> value</w:t>
      </w:r>
      <w:r w:rsidR="00504892" w:rsidRPr="00437630">
        <w:rPr>
          <w:rFonts w:ascii="Poppins" w:hAnsi="Poppins" w:cs="Poppins"/>
          <w:color w:val="060645"/>
        </w:rPr>
        <w:t xml:space="preserve"> which is paid to the Government</w:t>
      </w:r>
      <w:r w:rsidRPr="00437630">
        <w:rPr>
          <w:rFonts w:ascii="Poppins" w:hAnsi="Poppins" w:cs="Poppins"/>
          <w:color w:val="060645"/>
        </w:rPr>
        <w:t xml:space="preserve">. </w:t>
      </w:r>
    </w:p>
    <w:p w14:paraId="3997C28F" w14:textId="4244C076" w:rsidR="0010325D" w:rsidRPr="00437630" w:rsidRDefault="0010325D" w:rsidP="00AF2617">
      <w:pPr>
        <w:rPr>
          <w:rFonts w:ascii="Poppins" w:hAnsi="Poppins" w:cs="Poppins"/>
          <w:color w:val="060645"/>
        </w:rPr>
      </w:pPr>
      <w:r w:rsidRPr="00437630">
        <w:rPr>
          <w:rFonts w:ascii="Poppins" w:hAnsi="Poppins" w:cs="Poppins"/>
          <w:color w:val="060645"/>
        </w:rPr>
        <w:t xml:space="preserve">There are </w:t>
      </w:r>
      <w:r w:rsidR="00692384" w:rsidRPr="00437630">
        <w:rPr>
          <w:rFonts w:ascii="Poppins" w:hAnsi="Poppins" w:cs="Poppins"/>
          <w:color w:val="060645"/>
        </w:rPr>
        <w:t>four</w:t>
      </w:r>
      <w:r w:rsidRPr="00437630">
        <w:rPr>
          <w:rFonts w:ascii="Poppins" w:hAnsi="Poppins" w:cs="Poppins"/>
          <w:color w:val="060645"/>
        </w:rPr>
        <w:t xml:space="preserve"> steps to go through to get a bike for work through Cyclescheme</w:t>
      </w:r>
      <w:r w:rsidR="00692384" w:rsidRPr="00437630">
        <w:rPr>
          <w:rFonts w:ascii="Poppins" w:hAnsi="Poppins" w:cs="Poppins"/>
          <w:color w:val="060645"/>
        </w:rPr>
        <w:t>,</w:t>
      </w:r>
      <w:r w:rsidR="00A50AE4" w:rsidRPr="00437630">
        <w:rPr>
          <w:rFonts w:ascii="Poppins" w:hAnsi="Poppins" w:cs="Poppins"/>
          <w:color w:val="060645"/>
        </w:rPr>
        <w:t xml:space="preserve"> using their website</w:t>
      </w:r>
      <w:r w:rsidRPr="00437630">
        <w:rPr>
          <w:rFonts w:ascii="Poppins" w:hAnsi="Poppins" w:cs="Poppins"/>
          <w:color w:val="060645"/>
        </w:rPr>
        <w:t xml:space="preserve">, </w:t>
      </w:r>
      <w:r w:rsidR="004155C9" w:rsidRPr="00437630">
        <w:rPr>
          <w:rFonts w:ascii="Poppins" w:hAnsi="Poppins" w:cs="Poppins"/>
          <w:color w:val="060645"/>
        </w:rPr>
        <w:t>(follow link</w:t>
      </w:r>
      <w:r w:rsidR="00231637" w:rsidRPr="00437630">
        <w:rPr>
          <w:rFonts w:ascii="Poppins" w:hAnsi="Poppins" w:cs="Poppins"/>
          <w:color w:val="060645"/>
        </w:rPr>
        <w:t xml:space="preserve"> her for </w:t>
      </w:r>
      <w:hyperlink r:id="rId13" w:history="1">
        <w:r w:rsidR="004155C9" w:rsidRPr="00063AD3">
          <w:rPr>
            <w:rStyle w:val="Hyperlink"/>
            <w:rFonts w:ascii="Poppins" w:hAnsi="Poppins" w:cs="Poppins"/>
            <w:b/>
            <w:bCs/>
            <w:color w:val="060645"/>
          </w:rPr>
          <w:t xml:space="preserve"> </w:t>
        </w:r>
        <w:r w:rsidR="00231637" w:rsidRPr="00063AD3">
          <w:rPr>
            <w:rStyle w:val="Hyperlink"/>
            <w:rFonts w:ascii="Poppins" w:hAnsi="Poppins" w:cs="Poppins"/>
            <w:b/>
            <w:bCs/>
            <w:color w:val="060645"/>
          </w:rPr>
          <w:t>Cyclescheme</w:t>
        </w:r>
      </w:hyperlink>
      <w:r w:rsidR="004155C9" w:rsidRPr="00437630">
        <w:rPr>
          <w:rFonts w:ascii="Poppins" w:hAnsi="Poppins" w:cs="Poppins"/>
          <w:color w:val="060645"/>
        </w:rPr>
        <w:t xml:space="preserve">) </w:t>
      </w:r>
      <w:r w:rsidRPr="00437630">
        <w:rPr>
          <w:rFonts w:ascii="Poppins" w:hAnsi="Poppins" w:cs="Poppins"/>
          <w:color w:val="060645"/>
        </w:rPr>
        <w:t>see below</w:t>
      </w:r>
      <w:r w:rsidR="004155C9" w:rsidRPr="00437630">
        <w:rPr>
          <w:rFonts w:ascii="Poppins" w:hAnsi="Poppins" w:cs="Poppins"/>
          <w:color w:val="060645"/>
        </w:rPr>
        <w:t>:</w:t>
      </w:r>
    </w:p>
    <w:p w14:paraId="1E9267C0" w14:textId="10B10F97" w:rsidR="00A50AE4" w:rsidRPr="00437630" w:rsidRDefault="00A50AE4" w:rsidP="00AF2617">
      <w:pPr>
        <w:pStyle w:val="ListParagraph"/>
        <w:numPr>
          <w:ilvl w:val="0"/>
          <w:numId w:val="4"/>
        </w:numPr>
        <w:rPr>
          <w:rFonts w:ascii="Poppins" w:hAnsi="Poppins" w:cs="Poppins"/>
          <w:color w:val="060645"/>
        </w:rPr>
      </w:pPr>
      <w:r w:rsidRPr="00437630">
        <w:rPr>
          <w:rFonts w:ascii="Poppins" w:hAnsi="Poppins" w:cs="Poppins"/>
          <w:color w:val="060645"/>
        </w:rPr>
        <w:t>Select</w:t>
      </w:r>
      <w:r w:rsidR="00692384" w:rsidRPr="00437630">
        <w:rPr>
          <w:rFonts w:ascii="Poppins" w:hAnsi="Poppins" w:cs="Poppins"/>
          <w:color w:val="060645"/>
        </w:rPr>
        <w:t>:</w:t>
      </w:r>
      <w:r w:rsidRPr="00437630">
        <w:rPr>
          <w:rFonts w:ascii="Poppins" w:hAnsi="Poppins" w:cs="Poppins"/>
          <w:color w:val="060645"/>
        </w:rPr>
        <w:t xml:space="preserve"> </w:t>
      </w:r>
      <w:r w:rsidR="00692384" w:rsidRPr="00437630">
        <w:rPr>
          <w:rFonts w:ascii="Poppins" w:hAnsi="Poppins" w:cs="Poppins"/>
          <w:color w:val="060645"/>
        </w:rPr>
        <w:t>“</w:t>
      </w:r>
      <w:r w:rsidRPr="00437630">
        <w:rPr>
          <w:rFonts w:ascii="Poppins" w:hAnsi="Poppins" w:cs="Poppins"/>
          <w:color w:val="060645"/>
        </w:rPr>
        <w:t>What is it</w:t>
      </w:r>
      <w:r w:rsidR="00692384" w:rsidRPr="00437630">
        <w:rPr>
          <w:rFonts w:ascii="Poppins" w:hAnsi="Poppins" w:cs="Poppins"/>
          <w:color w:val="060645"/>
        </w:rPr>
        <w:t>”</w:t>
      </w:r>
      <w:r w:rsidRPr="00437630">
        <w:rPr>
          <w:rFonts w:ascii="Poppins" w:hAnsi="Poppins" w:cs="Poppins"/>
          <w:color w:val="060645"/>
        </w:rPr>
        <w:t>?</w:t>
      </w:r>
    </w:p>
    <w:p w14:paraId="47FC9E00" w14:textId="77777777" w:rsidR="00A50AE4" w:rsidRPr="00437630" w:rsidRDefault="00A50AE4" w:rsidP="004155C9">
      <w:pPr>
        <w:pStyle w:val="ListParagraph"/>
        <w:numPr>
          <w:ilvl w:val="0"/>
          <w:numId w:val="28"/>
        </w:numPr>
        <w:rPr>
          <w:rFonts w:ascii="Poppins" w:hAnsi="Poppins" w:cs="Poppins"/>
          <w:color w:val="060645"/>
        </w:rPr>
      </w:pPr>
      <w:r w:rsidRPr="00437630">
        <w:rPr>
          <w:rFonts w:ascii="Poppins" w:hAnsi="Poppins" w:cs="Poppins"/>
          <w:color w:val="060645"/>
        </w:rPr>
        <w:t xml:space="preserve">Use the </w:t>
      </w:r>
      <w:hyperlink r:id="rId14" w:history="1">
        <w:r w:rsidRPr="00063AD3">
          <w:rPr>
            <w:rStyle w:val="Hyperlink"/>
            <w:rFonts w:ascii="Poppins" w:hAnsi="Poppins" w:cs="Poppins"/>
            <w:b/>
            <w:bCs/>
            <w:color w:val="060645"/>
          </w:rPr>
          <w:t>calculator</w:t>
        </w:r>
      </w:hyperlink>
      <w:r w:rsidRPr="00437630">
        <w:rPr>
          <w:rFonts w:ascii="Poppins" w:hAnsi="Poppins" w:cs="Poppins"/>
          <w:color w:val="060645"/>
        </w:rPr>
        <w:t xml:space="preserve"> to check how much you can save.</w:t>
      </w:r>
    </w:p>
    <w:p w14:paraId="26D39BFC" w14:textId="089A3290" w:rsidR="0010325D" w:rsidRPr="00437630" w:rsidRDefault="00A50AE4" w:rsidP="00AF2617">
      <w:pPr>
        <w:pStyle w:val="ListParagraph"/>
        <w:numPr>
          <w:ilvl w:val="0"/>
          <w:numId w:val="4"/>
        </w:numPr>
        <w:rPr>
          <w:rFonts w:ascii="Poppins" w:hAnsi="Poppins" w:cs="Poppins"/>
          <w:color w:val="060645"/>
        </w:rPr>
      </w:pPr>
      <w:r w:rsidRPr="00437630">
        <w:rPr>
          <w:rFonts w:ascii="Poppins" w:hAnsi="Poppins" w:cs="Poppins"/>
          <w:color w:val="060645"/>
        </w:rPr>
        <w:t>Select: “</w:t>
      </w:r>
      <w:r w:rsidR="0010325D" w:rsidRPr="00437630">
        <w:rPr>
          <w:rFonts w:ascii="Poppins" w:hAnsi="Poppins" w:cs="Poppins"/>
          <w:color w:val="060645"/>
        </w:rPr>
        <w:t>Pick your package and apply</w:t>
      </w:r>
      <w:r w:rsidRPr="00437630">
        <w:rPr>
          <w:rFonts w:ascii="Poppins" w:hAnsi="Poppins" w:cs="Poppins"/>
          <w:color w:val="060645"/>
        </w:rPr>
        <w:t>”</w:t>
      </w:r>
    </w:p>
    <w:p w14:paraId="49AE1B79" w14:textId="6F4FB525" w:rsidR="00BD7816" w:rsidRPr="00437630" w:rsidRDefault="00BD7816" w:rsidP="00AF2617">
      <w:pPr>
        <w:pStyle w:val="ListParagraph"/>
        <w:numPr>
          <w:ilvl w:val="0"/>
          <w:numId w:val="5"/>
        </w:numPr>
        <w:rPr>
          <w:rFonts w:ascii="Poppins" w:hAnsi="Poppins" w:cs="Poppins"/>
          <w:color w:val="060645"/>
        </w:rPr>
      </w:pPr>
      <w:r w:rsidRPr="00437630">
        <w:rPr>
          <w:rFonts w:ascii="Poppins" w:hAnsi="Poppins" w:cs="Poppins"/>
          <w:color w:val="060645"/>
        </w:rPr>
        <w:t xml:space="preserve">Once you have a budget, use the </w:t>
      </w:r>
      <w:hyperlink r:id="rId15" w:history="1">
        <w:r w:rsidRPr="00063AD3">
          <w:rPr>
            <w:rStyle w:val="Hyperlink"/>
            <w:rFonts w:ascii="Poppins" w:hAnsi="Poppins" w:cs="Poppins"/>
            <w:b/>
            <w:bCs/>
            <w:color w:val="060645"/>
          </w:rPr>
          <w:t>retailer finder</w:t>
        </w:r>
      </w:hyperlink>
      <w:r w:rsidRPr="00437630">
        <w:rPr>
          <w:rFonts w:ascii="Poppins" w:hAnsi="Poppins" w:cs="Poppins"/>
          <w:color w:val="060645"/>
        </w:rPr>
        <w:t xml:space="preserve"> to select a local store or online retailer (you can decide on a retailer after you’ve applied)</w:t>
      </w:r>
      <w:r w:rsidR="00A7289B" w:rsidRPr="00437630">
        <w:rPr>
          <w:rFonts w:ascii="Poppins" w:hAnsi="Poppins" w:cs="Poppins"/>
          <w:color w:val="060645"/>
        </w:rPr>
        <w:t>. Please note your voucher will be the total value of your bike and equipment.</w:t>
      </w:r>
    </w:p>
    <w:p w14:paraId="51D6735C" w14:textId="7C3F8373" w:rsidR="00BD7816" w:rsidRPr="00437630" w:rsidRDefault="00F5389E" w:rsidP="00AF2617">
      <w:pPr>
        <w:pStyle w:val="ListParagraph"/>
        <w:numPr>
          <w:ilvl w:val="0"/>
          <w:numId w:val="4"/>
        </w:numPr>
        <w:rPr>
          <w:rFonts w:ascii="Poppins" w:hAnsi="Poppins" w:cs="Poppins"/>
          <w:color w:val="060645"/>
        </w:rPr>
      </w:pPr>
      <w:r w:rsidRPr="00437630">
        <w:rPr>
          <w:rFonts w:ascii="Poppins" w:hAnsi="Poppins" w:cs="Poppins"/>
          <w:color w:val="060645"/>
        </w:rPr>
        <w:t>Select: “</w:t>
      </w:r>
      <w:r w:rsidR="00BD7816" w:rsidRPr="00437630">
        <w:rPr>
          <w:rFonts w:ascii="Poppins" w:hAnsi="Poppins" w:cs="Poppins"/>
          <w:color w:val="060645"/>
        </w:rPr>
        <w:t>Get your gear</w:t>
      </w:r>
      <w:r w:rsidRPr="00437630">
        <w:rPr>
          <w:rFonts w:ascii="Poppins" w:hAnsi="Poppins" w:cs="Poppins"/>
          <w:color w:val="060645"/>
        </w:rPr>
        <w:t>”</w:t>
      </w:r>
    </w:p>
    <w:p w14:paraId="743152FF" w14:textId="5FE55209" w:rsidR="00BD7816" w:rsidRPr="00437630" w:rsidRDefault="00BD7816" w:rsidP="00AF2617">
      <w:pPr>
        <w:pStyle w:val="ListParagraph"/>
        <w:numPr>
          <w:ilvl w:val="0"/>
          <w:numId w:val="6"/>
        </w:numPr>
        <w:rPr>
          <w:rFonts w:ascii="Poppins" w:hAnsi="Poppins" w:cs="Poppins"/>
          <w:color w:val="060645"/>
        </w:rPr>
      </w:pPr>
      <w:r w:rsidRPr="00437630">
        <w:rPr>
          <w:rFonts w:ascii="Poppins" w:hAnsi="Poppins" w:cs="Poppins"/>
          <w:color w:val="060645"/>
        </w:rPr>
        <w:t>When you apply, you’ll be guided through a simple form that asks for your work details (staff number), contact information and value of the voucher (you’ll be able to link the specific retailer if you’ve chosen one)</w:t>
      </w:r>
    </w:p>
    <w:p w14:paraId="038A95D2" w14:textId="7B891E60" w:rsidR="00BD7816" w:rsidRPr="00437630" w:rsidRDefault="00BD7816" w:rsidP="00AF2617">
      <w:pPr>
        <w:pStyle w:val="ListParagraph"/>
        <w:numPr>
          <w:ilvl w:val="0"/>
          <w:numId w:val="6"/>
        </w:numPr>
        <w:rPr>
          <w:rFonts w:ascii="Poppins" w:hAnsi="Poppins" w:cs="Poppins"/>
          <w:color w:val="060645"/>
        </w:rPr>
      </w:pPr>
      <w:r w:rsidRPr="00437630">
        <w:rPr>
          <w:rFonts w:ascii="Poppins" w:hAnsi="Poppins" w:cs="Poppins"/>
          <w:color w:val="060645"/>
        </w:rPr>
        <w:t xml:space="preserve">Your employer will review </w:t>
      </w:r>
      <w:r w:rsidR="00A7289B" w:rsidRPr="00437630">
        <w:rPr>
          <w:rFonts w:ascii="Poppins" w:hAnsi="Poppins" w:cs="Poppins"/>
          <w:color w:val="060645"/>
        </w:rPr>
        <w:t xml:space="preserve">and approve </w:t>
      </w:r>
      <w:r w:rsidRPr="00437630">
        <w:rPr>
          <w:rFonts w:ascii="Poppins" w:hAnsi="Poppins" w:cs="Poppins"/>
          <w:color w:val="060645"/>
        </w:rPr>
        <w:t>the application and pay for your Cyclescheme package. Cyclescheme will then send you an e-certificate which you can exchange in-store or online.</w:t>
      </w:r>
      <w:r w:rsidR="00A7289B" w:rsidRPr="00437630">
        <w:rPr>
          <w:rFonts w:ascii="Poppins" w:hAnsi="Poppins" w:cs="Poppins"/>
          <w:color w:val="060645"/>
        </w:rPr>
        <w:t xml:space="preserve"> </w:t>
      </w:r>
      <w:r w:rsidR="00E056F2" w:rsidRPr="00437630">
        <w:rPr>
          <w:rFonts w:ascii="Poppins" w:hAnsi="Poppins" w:cs="Poppins"/>
          <w:color w:val="060645"/>
        </w:rPr>
        <w:t xml:space="preserve">This </w:t>
      </w:r>
      <w:r w:rsidR="00A50AE4" w:rsidRPr="00437630">
        <w:rPr>
          <w:rFonts w:ascii="Poppins" w:hAnsi="Poppins" w:cs="Poppins"/>
          <w:color w:val="060645"/>
        </w:rPr>
        <w:t xml:space="preserve">process </w:t>
      </w:r>
      <w:r w:rsidR="00E056F2" w:rsidRPr="00437630">
        <w:rPr>
          <w:rFonts w:ascii="Poppins" w:hAnsi="Poppins" w:cs="Poppins"/>
          <w:color w:val="060645"/>
        </w:rPr>
        <w:t>can take up to 6 weeks.</w:t>
      </w:r>
    </w:p>
    <w:p w14:paraId="798F29AE" w14:textId="73E23CDC" w:rsidR="00BD7816" w:rsidRPr="00437630" w:rsidRDefault="00F5389E" w:rsidP="00AF2617">
      <w:pPr>
        <w:pStyle w:val="ListParagraph"/>
        <w:numPr>
          <w:ilvl w:val="0"/>
          <w:numId w:val="4"/>
        </w:numPr>
        <w:rPr>
          <w:rFonts w:ascii="Poppins" w:hAnsi="Poppins" w:cs="Poppins"/>
          <w:color w:val="060645"/>
        </w:rPr>
      </w:pPr>
      <w:r w:rsidRPr="00437630">
        <w:rPr>
          <w:rFonts w:ascii="Poppins" w:hAnsi="Poppins" w:cs="Poppins"/>
          <w:color w:val="060645"/>
        </w:rPr>
        <w:t>Select: “</w:t>
      </w:r>
      <w:r w:rsidR="00BD7816" w:rsidRPr="00437630">
        <w:rPr>
          <w:rFonts w:ascii="Poppins" w:hAnsi="Poppins" w:cs="Poppins"/>
          <w:color w:val="060645"/>
        </w:rPr>
        <w:t>Choose an ownership option</w:t>
      </w:r>
      <w:r w:rsidRPr="00437630">
        <w:rPr>
          <w:rFonts w:ascii="Poppins" w:hAnsi="Poppins" w:cs="Poppins"/>
          <w:color w:val="060645"/>
        </w:rPr>
        <w:t>”</w:t>
      </w:r>
    </w:p>
    <w:p w14:paraId="532B44E9" w14:textId="565F336C" w:rsidR="00BD7816" w:rsidRPr="00437630" w:rsidRDefault="00BD7816" w:rsidP="00AF2617">
      <w:pPr>
        <w:pStyle w:val="ListParagraph"/>
        <w:ind w:left="1440"/>
        <w:rPr>
          <w:rFonts w:ascii="Poppins" w:hAnsi="Poppins" w:cs="Poppins"/>
          <w:color w:val="060645"/>
        </w:rPr>
      </w:pPr>
      <w:r w:rsidRPr="00437630">
        <w:rPr>
          <w:rFonts w:ascii="Poppins" w:hAnsi="Poppins" w:cs="Poppins"/>
          <w:color w:val="060645"/>
        </w:rPr>
        <w:t>When your hire agreement and salary sacrifice ends,</w:t>
      </w:r>
      <w:r w:rsidR="00E056F2" w:rsidRPr="00437630">
        <w:rPr>
          <w:rFonts w:ascii="Poppins" w:hAnsi="Poppins" w:cs="Poppins"/>
          <w:color w:val="060645"/>
        </w:rPr>
        <w:t xml:space="preserve"> Cyclescheme will contact you to choose between the following</w:t>
      </w:r>
      <w:r w:rsidRPr="00437630">
        <w:rPr>
          <w:rFonts w:ascii="Poppins" w:hAnsi="Poppins" w:cs="Poppins"/>
          <w:color w:val="060645"/>
        </w:rPr>
        <w:t xml:space="preserve"> options.</w:t>
      </w:r>
    </w:p>
    <w:p w14:paraId="2B11E210" w14:textId="1D449B77" w:rsidR="00BD7816" w:rsidRPr="00437630" w:rsidRDefault="00BD7816" w:rsidP="00AF2617">
      <w:pPr>
        <w:pStyle w:val="ListParagraph"/>
        <w:numPr>
          <w:ilvl w:val="0"/>
          <w:numId w:val="26"/>
        </w:numPr>
        <w:rPr>
          <w:rFonts w:ascii="Poppins" w:hAnsi="Poppins" w:cs="Poppins"/>
          <w:color w:val="060645"/>
        </w:rPr>
      </w:pPr>
      <w:r w:rsidRPr="00437630">
        <w:rPr>
          <w:rFonts w:ascii="Poppins" w:hAnsi="Poppins" w:cs="Poppins"/>
          <w:color w:val="060645"/>
        </w:rPr>
        <w:t xml:space="preserve">Own it later – </w:t>
      </w:r>
      <w:r w:rsidR="00E056F2" w:rsidRPr="00437630">
        <w:rPr>
          <w:rFonts w:ascii="Poppins" w:hAnsi="Poppins" w:cs="Poppins"/>
          <w:color w:val="060645"/>
        </w:rPr>
        <w:t xml:space="preserve">for example: </w:t>
      </w:r>
      <w:r w:rsidRPr="00437630">
        <w:rPr>
          <w:rFonts w:ascii="Poppins" w:hAnsi="Poppins" w:cs="Poppins"/>
          <w:color w:val="060645"/>
        </w:rPr>
        <w:t xml:space="preserve">for a package under £500, you’ll pay 3% of the original value </w:t>
      </w:r>
      <w:r w:rsidR="004675BC" w:rsidRPr="00437630">
        <w:rPr>
          <w:rFonts w:ascii="Poppins" w:hAnsi="Poppins" w:cs="Poppins"/>
          <w:color w:val="060645"/>
        </w:rPr>
        <w:t>but</w:t>
      </w:r>
      <w:r w:rsidRPr="00437630">
        <w:rPr>
          <w:rFonts w:ascii="Poppins" w:hAnsi="Poppins" w:cs="Poppins"/>
          <w:color w:val="060645"/>
        </w:rPr>
        <w:t xml:space="preserve"> for a package over £500 you’ll pay 7%. The bike remains ‘hired’ for a further 36 months but with no more monthly payments. Ownership can be transferred to you</w:t>
      </w:r>
      <w:r w:rsidR="004675BC" w:rsidRPr="00437630">
        <w:rPr>
          <w:rFonts w:ascii="Poppins" w:hAnsi="Poppins" w:cs="Poppins"/>
          <w:color w:val="060645"/>
        </w:rPr>
        <w:t xml:space="preserve"> a small payment may however need to be made</w:t>
      </w:r>
      <w:r w:rsidRPr="00437630">
        <w:rPr>
          <w:rFonts w:ascii="Poppins" w:hAnsi="Poppins" w:cs="Poppins"/>
          <w:color w:val="060645"/>
        </w:rPr>
        <w:t>.</w:t>
      </w:r>
    </w:p>
    <w:p w14:paraId="2C502CFA" w14:textId="69458F96" w:rsidR="00BD7816" w:rsidRPr="00437630" w:rsidRDefault="00BD7816" w:rsidP="00AF2617">
      <w:pPr>
        <w:pStyle w:val="ListParagraph"/>
        <w:numPr>
          <w:ilvl w:val="0"/>
          <w:numId w:val="26"/>
        </w:numPr>
        <w:rPr>
          <w:rFonts w:ascii="Poppins" w:hAnsi="Poppins" w:cs="Poppins"/>
          <w:color w:val="060645"/>
        </w:rPr>
      </w:pPr>
      <w:r w:rsidRPr="00437630">
        <w:rPr>
          <w:rFonts w:ascii="Poppins" w:hAnsi="Poppins" w:cs="Poppins"/>
          <w:color w:val="060645"/>
        </w:rPr>
        <w:t xml:space="preserve">Own it now – for a package under £500 you’ll pay 18% of the original value </w:t>
      </w:r>
      <w:r w:rsidR="004675BC" w:rsidRPr="00437630">
        <w:rPr>
          <w:rFonts w:ascii="Poppins" w:hAnsi="Poppins" w:cs="Poppins"/>
          <w:color w:val="060645"/>
        </w:rPr>
        <w:t>but</w:t>
      </w:r>
      <w:r w:rsidRPr="00437630">
        <w:rPr>
          <w:rFonts w:ascii="Poppins" w:hAnsi="Poppins" w:cs="Poppins"/>
          <w:color w:val="060645"/>
        </w:rPr>
        <w:t xml:space="preserve"> for a package over £500 you’ll pay 25%. Ownership will then transfer to you</w:t>
      </w:r>
      <w:r w:rsidR="004675BC" w:rsidRPr="00437630">
        <w:rPr>
          <w:rFonts w:ascii="Poppins" w:hAnsi="Poppins" w:cs="Poppins"/>
          <w:color w:val="060645"/>
        </w:rPr>
        <w:t xml:space="preserve">, </w:t>
      </w:r>
      <w:r w:rsidRPr="00437630">
        <w:rPr>
          <w:rFonts w:ascii="Poppins" w:hAnsi="Poppins" w:cs="Poppins"/>
          <w:color w:val="060645"/>
        </w:rPr>
        <w:t>no other costs</w:t>
      </w:r>
      <w:r w:rsidR="004675BC" w:rsidRPr="00437630">
        <w:rPr>
          <w:rFonts w:ascii="Poppins" w:hAnsi="Poppins" w:cs="Poppins"/>
          <w:color w:val="060645"/>
        </w:rPr>
        <w:t xml:space="preserve"> will be incurred</w:t>
      </w:r>
      <w:r w:rsidRPr="00437630">
        <w:rPr>
          <w:rFonts w:ascii="Poppins" w:hAnsi="Poppins" w:cs="Poppins"/>
          <w:color w:val="060645"/>
        </w:rPr>
        <w:t>.</w:t>
      </w:r>
    </w:p>
    <w:p w14:paraId="074575FA" w14:textId="25DFDB43" w:rsidR="00BD7816" w:rsidRPr="00437630" w:rsidRDefault="00BD7816" w:rsidP="00AF2617">
      <w:pPr>
        <w:pStyle w:val="ListParagraph"/>
        <w:numPr>
          <w:ilvl w:val="0"/>
          <w:numId w:val="26"/>
        </w:numPr>
        <w:rPr>
          <w:rFonts w:ascii="Poppins" w:hAnsi="Poppins" w:cs="Poppins"/>
          <w:color w:val="060645"/>
        </w:rPr>
      </w:pPr>
      <w:r w:rsidRPr="00437630">
        <w:rPr>
          <w:rFonts w:ascii="Poppins" w:hAnsi="Poppins" w:cs="Poppins"/>
          <w:color w:val="060645"/>
        </w:rPr>
        <w:lastRenderedPageBreak/>
        <w:t xml:space="preserve">Return the bike – If for any reason you do not want the bike at the end of the hire </w:t>
      </w:r>
      <w:r w:rsidR="004675BC" w:rsidRPr="00437630">
        <w:rPr>
          <w:rFonts w:ascii="Poppins" w:hAnsi="Poppins" w:cs="Poppins"/>
          <w:color w:val="060645"/>
        </w:rPr>
        <w:t xml:space="preserve">agreement </w:t>
      </w:r>
      <w:r w:rsidRPr="00437630">
        <w:rPr>
          <w:rFonts w:ascii="Poppins" w:hAnsi="Poppins" w:cs="Poppins"/>
          <w:color w:val="060645"/>
        </w:rPr>
        <w:t>period, you can return it to Cyclescheme and incur no additional costs.</w:t>
      </w:r>
    </w:p>
    <w:p w14:paraId="7F881C6C" w14:textId="0F6D875C" w:rsidR="00B73918" w:rsidRPr="00437630" w:rsidRDefault="00DB4873" w:rsidP="003F460A">
      <w:pPr>
        <w:rPr>
          <w:rFonts w:ascii="Poppins" w:hAnsi="Poppins" w:cs="Poppins"/>
          <w:color w:val="060645"/>
        </w:rPr>
      </w:pPr>
      <w:r w:rsidRPr="00437630">
        <w:rPr>
          <w:rFonts w:ascii="Poppins" w:hAnsi="Poppins" w:cs="Poppins"/>
          <w:b/>
          <w:bCs/>
          <w:color w:val="060645"/>
        </w:rPr>
        <w:t>2.1 Voucher value limit</w:t>
      </w:r>
    </w:p>
    <w:p w14:paraId="72990DA0" w14:textId="723CD140" w:rsidR="00862CB6" w:rsidRPr="00437630" w:rsidRDefault="00EE000A" w:rsidP="003F460A">
      <w:pPr>
        <w:rPr>
          <w:rFonts w:ascii="Poppins" w:hAnsi="Poppins" w:cs="Poppins"/>
          <w:color w:val="060645"/>
        </w:rPr>
      </w:pPr>
      <w:r w:rsidRPr="00437630">
        <w:rPr>
          <w:rFonts w:ascii="Poppins" w:hAnsi="Poppins" w:cs="Poppins"/>
          <w:color w:val="060645"/>
        </w:rPr>
        <w:t>The Department of Transport (DfT) updated their cycle guidance and have made it acceptable for employees to request a voucher of any value</w:t>
      </w:r>
      <w:r w:rsidR="003F460A" w:rsidRPr="00437630">
        <w:rPr>
          <w:rFonts w:ascii="Poppins" w:hAnsi="Poppins" w:cs="Poppins"/>
          <w:color w:val="060645"/>
        </w:rPr>
        <w:t>. H</w:t>
      </w:r>
      <w:r w:rsidRPr="00437630">
        <w:rPr>
          <w:rFonts w:ascii="Poppins" w:hAnsi="Poppins" w:cs="Poppins"/>
          <w:color w:val="060645"/>
        </w:rPr>
        <w:t>owever,</w:t>
      </w:r>
      <w:r w:rsidR="003F460A" w:rsidRPr="00437630">
        <w:rPr>
          <w:rFonts w:ascii="Poppins" w:hAnsi="Poppins" w:cs="Poppins"/>
          <w:color w:val="060645"/>
        </w:rPr>
        <w:t xml:space="preserve"> it is</w:t>
      </w:r>
      <w:r w:rsidRPr="00437630">
        <w:rPr>
          <w:rFonts w:ascii="Poppins" w:hAnsi="Poppins" w:cs="Poppins"/>
          <w:color w:val="060645"/>
        </w:rPr>
        <w:t xml:space="preserve"> </w:t>
      </w:r>
      <w:r w:rsidR="00B73918" w:rsidRPr="00437630">
        <w:rPr>
          <w:rFonts w:ascii="Poppins" w:hAnsi="Poppins" w:cs="Poppins"/>
          <w:color w:val="060645"/>
        </w:rPr>
        <w:t>The</w:t>
      </w:r>
      <w:r w:rsidRPr="00437630">
        <w:rPr>
          <w:rFonts w:ascii="Poppins" w:hAnsi="Poppins" w:cs="Poppins"/>
          <w:color w:val="060645"/>
        </w:rPr>
        <w:t xml:space="preserve"> O</w:t>
      </w:r>
      <w:r w:rsidR="00B73918" w:rsidRPr="00437630">
        <w:rPr>
          <w:rFonts w:ascii="Poppins" w:hAnsi="Poppins" w:cs="Poppins"/>
          <w:color w:val="060645"/>
        </w:rPr>
        <w:t>pen University</w:t>
      </w:r>
      <w:r w:rsidR="003F460A" w:rsidRPr="00437630">
        <w:rPr>
          <w:rFonts w:ascii="Poppins" w:hAnsi="Poppins" w:cs="Poppins"/>
          <w:color w:val="060645"/>
        </w:rPr>
        <w:t xml:space="preserve">’s policy that any </w:t>
      </w:r>
      <w:r w:rsidR="00B73918" w:rsidRPr="00437630">
        <w:rPr>
          <w:rFonts w:ascii="Poppins" w:hAnsi="Poppins" w:cs="Poppins"/>
          <w:color w:val="060645"/>
        </w:rPr>
        <w:t xml:space="preserve">voucher value </w:t>
      </w:r>
      <w:r w:rsidR="003F460A" w:rsidRPr="00437630">
        <w:rPr>
          <w:rFonts w:ascii="Poppins" w:hAnsi="Poppins" w:cs="Poppins"/>
          <w:color w:val="060645"/>
        </w:rPr>
        <w:t xml:space="preserve">will be </w:t>
      </w:r>
      <w:r w:rsidR="00B73918" w:rsidRPr="00437630">
        <w:rPr>
          <w:rFonts w:ascii="Poppins" w:hAnsi="Poppins" w:cs="Poppins"/>
          <w:color w:val="060645"/>
        </w:rPr>
        <w:t>capped at £1</w:t>
      </w:r>
      <w:r w:rsidR="005C08BB">
        <w:rPr>
          <w:rFonts w:ascii="Poppins" w:hAnsi="Poppins" w:cs="Poppins"/>
          <w:color w:val="060645"/>
        </w:rPr>
        <w:t>,500</w:t>
      </w:r>
      <w:r w:rsidR="004675BC" w:rsidRPr="00437630">
        <w:rPr>
          <w:rFonts w:ascii="Poppins" w:hAnsi="Poppins" w:cs="Poppins"/>
          <w:color w:val="060645"/>
        </w:rPr>
        <w:t xml:space="preserve"> for bicycles and £</w:t>
      </w:r>
      <w:r w:rsidR="005C08BB">
        <w:rPr>
          <w:rFonts w:ascii="Poppins" w:hAnsi="Poppins" w:cs="Poppins"/>
          <w:color w:val="060645"/>
        </w:rPr>
        <w:t>2,500</w:t>
      </w:r>
      <w:r w:rsidR="004675BC" w:rsidRPr="00437630">
        <w:rPr>
          <w:rFonts w:ascii="Poppins" w:hAnsi="Poppins" w:cs="Poppins"/>
          <w:color w:val="060645"/>
        </w:rPr>
        <w:t xml:space="preserve"> for e-bikes.</w:t>
      </w:r>
      <w:r w:rsidR="003F460A" w:rsidRPr="00437630">
        <w:rPr>
          <w:rFonts w:ascii="Poppins" w:hAnsi="Poppins" w:cs="Poppins"/>
          <w:color w:val="060645"/>
        </w:rPr>
        <w:t xml:space="preserve"> </w:t>
      </w:r>
      <w:r w:rsidR="00862CB6" w:rsidRPr="00437630">
        <w:rPr>
          <w:rFonts w:ascii="Poppins" w:hAnsi="Poppins" w:cs="Poppins"/>
          <w:color w:val="060645"/>
        </w:rPr>
        <w:t xml:space="preserve">This limit will continue to be reviewed periodically. </w:t>
      </w:r>
    </w:p>
    <w:p w14:paraId="523B8F82" w14:textId="51884F2A" w:rsidR="004675BC" w:rsidRPr="00581552" w:rsidRDefault="00B73918" w:rsidP="00437630">
      <w:pPr>
        <w:rPr>
          <w:rFonts w:ascii="Arial" w:hAnsi="Arial" w:cs="Arial"/>
          <w:sz w:val="18"/>
          <w:szCs w:val="18"/>
        </w:rPr>
      </w:pPr>
      <w:r w:rsidRPr="00437630">
        <w:rPr>
          <w:rFonts w:ascii="Poppins" w:hAnsi="Poppins" w:cs="Poppins"/>
          <w:color w:val="060645"/>
        </w:rPr>
        <w:t xml:space="preserve">Please note that HMRC have removed the top up </w:t>
      </w:r>
      <w:r w:rsidR="00063AD3" w:rsidRPr="00437630">
        <w:rPr>
          <w:rFonts w:ascii="Poppins" w:hAnsi="Poppins" w:cs="Poppins"/>
          <w:color w:val="060645"/>
        </w:rPr>
        <w:t>facility,</w:t>
      </w:r>
      <w:r w:rsidRPr="00437630">
        <w:rPr>
          <w:rFonts w:ascii="Poppins" w:hAnsi="Poppins" w:cs="Poppins"/>
          <w:color w:val="060645"/>
        </w:rPr>
        <w:t xml:space="preserve"> </w:t>
      </w:r>
      <w:r w:rsidR="004675BC" w:rsidRPr="00437630">
        <w:rPr>
          <w:rFonts w:ascii="Poppins" w:hAnsi="Poppins" w:cs="Poppins"/>
          <w:color w:val="060645"/>
        </w:rPr>
        <w:t>so no additional payment provisions are permitted to be made directly to the supplier.</w:t>
      </w:r>
      <w:r w:rsidR="00581552" w:rsidRPr="00437630">
        <w:rPr>
          <w:rFonts w:ascii="Poppins" w:hAnsi="Poppins" w:cs="Poppins"/>
          <w:color w:val="060645"/>
        </w:rPr>
        <w:br/>
      </w:r>
    </w:p>
    <w:p w14:paraId="3E7D78F5" w14:textId="1E052752" w:rsidR="00DB4873" w:rsidRPr="00437630" w:rsidRDefault="00DB4873" w:rsidP="003F460A">
      <w:pPr>
        <w:rPr>
          <w:rFonts w:ascii="Poppins" w:hAnsi="Poppins" w:cs="Poppins"/>
          <w:color w:val="060645"/>
        </w:rPr>
      </w:pPr>
      <w:r w:rsidRPr="00437630">
        <w:rPr>
          <w:rFonts w:ascii="Poppins" w:hAnsi="Poppins" w:cs="Poppins"/>
          <w:b/>
          <w:bCs/>
          <w:color w:val="060645"/>
        </w:rPr>
        <w:t xml:space="preserve">2.2 </w:t>
      </w:r>
      <w:r w:rsidR="00155E0B" w:rsidRPr="00437630">
        <w:rPr>
          <w:rFonts w:ascii="Poppins" w:hAnsi="Poppins" w:cs="Poppins"/>
          <w:b/>
          <w:bCs/>
          <w:color w:val="060645"/>
        </w:rPr>
        <w:t>I</w:t>
      </w:r>
      <w:r w:rsidRPr="00437630">
        <w:rPr>
          <w:rFonts w:ascii="Poppins" w:hAnsi="Poppins" w:cs="Poppins"/>
          <w:b/>
          <w:bCs/>
          <w:color w:val="060645"/>
        </w:rPr>
        <w:t>nsurance</w:t>
      </w:r>
    </w:p>
    <w:p w14:paraId="178AB3A4" w14:textId="4CADCAAA" w:rsidR="00AF2617" w:rsidRPr="00437630" w:rsidRDefault="00155E0B" w:rsidP="003F460A">
      <w:pPr>
        <w:rPr>
          <w:rFonts w:ascii="Poppins" w:hAnsi="Poppins" w:cs="Poppins"/>
          <w:b/>
          <w:bCs/>
          <w:color w:val="060645"/>
        </w:rPr>
      </w:pPr>
      <w:r w:rsidRPr="00437630">
        <w:rPr>
          <w:rFonts w:ascii="Poppins" w:hAnsi="Poppins" w:cs="Poppins"/>
          <w:color w:val="060645"/>
        </w:rPr>
        <w:t>Employees are reminded that the hire agreement requires that</w:t>
      </w:r>
      <w:r w:rsidR="003F460A" w:rsidRPr="00437630">
        <w:rPr>
          <w:rFonts w:ascii="Poppins" w:hAnsi="Poppins" w:cs="Poppins"/>
          <w:color w:val="060645"/>
        </w:rPr>
        <w:t xml:space="preserve"> insurance</w:t>
      </w:r>
      <w:r w:rsidRPr="00437630">
        <w:rPr>
          <w:rFonts w:ascii="Poppins" w:hAnsi="Poppins" w:cs="Poppins"/>
          <w:color w:val="060645"/>
        </w:rPr>
        <w:t xml:space="preserve"> cover should be taken out during the entire hire agreement period</w:t>
      </w:r>
      <w:r w:rsidR="00BB3DE3" w:rsidRPr="00437630">
        <w:rPr>
          <w:rFonts w:ascii="Poppins" w:hAnsi="Poppins" w:cs="Poppins"/>
          <w:color w:val="060645"/>
        </w:rPr>
        <w:t xml:space="preserve"> for the full value of the bike</w:t>
      </w:r>
      <w:r w:rsidRPr="00437630">
        <w:rPr>
          <w:rFonts w:ascii="Poppins" w:hAnsi="Poppins" w:cs="Poppins"/>
          <w:color w:val="060645"/>
        </w:rPr>
        <w:t xml:space="preserve">. </w:t>
      </w:r>
      <w:r w:rsidR="00BD7816" w:rsidRPr="00437630">
        <w:rPr>
          <w:rFonts w:ascii="Poppins" w:hAnsi="Poppins" w:cs="Poppins"/>
          <w:color w:val="060645"/>
        </w:rPr>
        <w:t>With Cyclescheme you will be given the option to benefit from 14 days free insurance with Bikmo.</w:t>
      </w:r>
      <w:r w:rsidR="00FB7E05" w:rsidRPr="00437630">
        <w:rPr>
          <w:rFonts w:ascii="Poppins" w:hAnsi="Poppins" w:cs="Poppins"/>
          <w:color w:val="060645"/>
        </w:rPr>
        <w:t xml:space="preserve"> </w:t>
      </w:r>
      <w:r w:rsidR="00BD7816" w:rsidRPr="00437630">
        <w:rPr>
          <w:rFonts w:ascii="Poppins" w:hAnsi="Poppins" w:cs="Poppins"/>
          <w:color w:val="060645"/>
        </w:rPr>
        <w:t xml:space="preserve">This will cover against theft and vandalism. </w:t>
      </w:r>
      <w:r w:rsidR="00FB7E05" w:rsidRPr="00437630">
        <w:rPr>
          <w:rFonts w:ascii="Poppins" w:hAnsi="Poppins" w:cs="Poppins"/>
          <w:color w:val="060645"/>
        </w:rPr>
        <w:t>You will also be given the option of receiving a quote for insuring your bike.</w:t>
      </w:r>
      <w:r w:rsidR="00775127" w:rsidRPr="00437630">
        <w:rPr>
          <w:rFonts w:ascii="Poppins" w:hAnsi="Poppins" w:cs="Poppins"/>
          <w:color w:val="060645"/>
        </w:rPr>
        <w:t xml:space="preserve"> </w:t>
      </w:r>
      <w:r w:rsidR="00FB7E05" w:rsidRPr="00437630">
        <w:rPr>
          <w:rFonts w:ascii="Poppins" w:hAnsi="Poppins" w:cs="Poppins"/>
          <w:color w:val="060645"/>
        </w:rPr>
        <w:t xml:space="preserve">For more information visit </w:t>
      </w:r>
      <w:hyperlink r:id="rId16" w:history="1">
        <w:r w:rsidR="00FB7E05" w:rsidRPr="00063AD3">
          <w:rPr>
            <w:rStyle w:val="Hyperlink"/>
            <w:rFonts w:ascii="Poppins" w:hAnsi="Poppins" w:cs="Poppins"/>
            <w:b/>
            <w:bCs/>
            <w:color w:val="060645"/>
          </w:rPr>
          <w:t>Cyclescheme’s website</w:t>
        </w:r>
      </w:hyperlink>
      <w:r w:rsidR="00FB7E05" w:rsidRPr="00437630">
        <w:rPr>
          <w:rFonts w:ascii="Poppins" w:hAnsi="Poppins" w:cs="Poppins"/>
          <w:color w:val="060645"/>
        </w:rPr>
        <w:t xml:space="preserve"> </w:t>
      </w:r>
      <w:r w:rsidRPr="00437630">
        <w:rPr>
          <w:rFonts w:ascii="Poppins" w:hAnsi="Poppins" w:cs="Poppins"/>
          <w:color w:val="060645"/>
        </w:rPr>
        <w:t>Alternate options for insurance include adding the bicycle to your home insurance, check with them on any terms and conditions which may apply.</w:t>
      </w:r>
    </w:p>
    <w:p w14:paraId="23D79449" w14:textId="01908BC7" w:rsidR="008B7EBB" w:rsidRPr="00437630" w:rsidRDefault="003F19E9" w:rsidP="004155C9">
      <w:pPr>
        <w:rPr>
          <w:rFonts w:ascii="Poppins" w:hAnsi="Poppins" w:cs="Poppins"/>
          <w:b/>
          <w:bCs/>
          <w:color w:val="060645"/>
        </w:rPr>
      </w:pPr>
      <w:r w:rsidRPr="00437630">
        <w:rPr>
          <w:rFonts w:ascii="Poppins" w:hAnsi="Poppins" w:cs="Poppins"/>
          <w:b/>
          <w:bCs/>
          <w:color w:val="060645"/>
        </w:rPr>
        <w:t>3.0</w:t>
      </w:r>
      <w:r w:rsidR="00E056F2" w:rsidRPr="00437630">
        <w:rPr>
          <w:rFonts w:ascii="Poppins" w:hAnsi="Poppins" w:cs="Poppins"/>
          <w:b/>
          <w:bCs/>
          <w:color w:val="060645"/>
        </w:rPr>
        <w:t xml:space="preserve"> </w:t>
      </w:r>
      <w:r w:rsidR="00B73918" w:rsidRPr="00437630">
        <w:rPr>
          <w:rFonts w:ascii="Poppins" w:hAnsi="Poppins" w:cs="Poppins"/>
          <w:b/>
          <w:bCs/>
          <w:color w:val="060645"/>
        </w:rPr>
        <w:t>H</w:t>
      </w:r>
      <w:r w:rsidR="008B7EBB" w:rsidRPr="00437630">
        <w:rPr>
          <w:rFonts w:ascii="Poppins" w:hAnsi="Poppins" w:cs="Poppins"/>
          <w:b/>
          <w:bCs/>
          <w:color w:val="060645"/>
        </w:rPr>
        <w:t>ow a salary sacrifice works</w:t>
      </w:r>
    </w:p>
    <w:p w14:paraId="20607E7A" w14:textId="5BCEED67" w:rsidR="008B7EBB" w:rsidRPr="00437630" w:rsidRDefault="008B7EBB" w:rsidP="00025A35">
      <w:pPr>
        <w:rPr>
          <w:rFonts w:ascii="Poppins" w:hAnsi="Poppins" w:cs="Poppins"/>
          <w:color w:val="060645"/>
        </w:rPr>
      </w:pPr>
      <w:r w:rsidRPr="00437630">
        <w:rPr>
          <w:rFonts w:ascii="Poppins" w:hAnsi="Poppins" w:cs="Poppins"/>
          <w:color w:val="060645"/>
        </w:rPr>
        <w:t xml:space="preserve">Salary sacrifice is where an employee agrees to give up part of their pre-tax salary in exchange for a benefit from their employer, in this case, a hire of a </w:t>
      </w:r>
      <w:r w:rsidR="00155E0B" w:rsidRPr="00437630">
        <w:rPr>
          <w:rFonts w:ascii="Poppins" w:hAnsi="Poppins" w:cs="Poppins"/>
          <w:color w:val="060645"/>
        </w:rPr>
        <w:t>bi</w:t>
      </w:r>
      <w:r w:rsidRPr="00437630">
        <w:rPr>
          <w:rFonts w:ascii="Poppins" w:hAnsi="Poppins" w:cs="Poppins"/>
          <w:color w:val="060645"/>
        </w:rPr>
        <w:t>cycle or safety equipment. This will involve a separate hire agreement between the employee and employer, who has either purchased the bi</w:t>
      </w:r>
      <w:r w:rsidR="00155E0B" w:rsidRPr="00437630">
        <w:rPr>
          <w:rFonts w:ascii="Poppins" w:hAnsi="Poppins" w:cs="Poppins"/>
          <w:color w:val="060645"/>
        </w:rPr>
        <w:t>cycle</w:t>
      </w:r>
      <w:r w:rsidRPr="00437630">
        <w:rPr>
          <w:rFonts w:ascii="Poppins" w:hAnsi="Poppins" w:cs="Poppins"/>
          <w:color w:val="060645"/>
        </w:rPr>
        <w:t xml:space="preserve">/equipment or leased it from a third party (such as a retailer). The employee pays for the hire </w:t>
      </w:r>
      <w:r w:rsidR="00155E0B" w:rsidRPr="00437630">
        <w:rPr>
          <w:rFonts w:ascii="Poppins" w:hAnsi="Poppins" w:cs="Poppins"/>
          <w:color w:val="060645"/>
        </w:rPr>
        <w:t xml:space="preserve">costs </w:t>
      </w:r>
      <w:r w:rsidRPr="00437630">
        <w:rPr>
          <w:rFonts w:ascii="Poppins" w:hAnsi="Poppins" w:cs="Poppins"/>
          <w:color w:val="060645"/>
        </w:rPr>
        <w:t>via the salary sacrifice arrangement with the employer.</w:t>
      </w:r>
      <w:r w:rsidR="00155E0B" w:rsidRPr="00437630">
        <w:rPr>
          <w:rFonts w:ascii="Poppins" w:hAnsi="Poppins" w:cs="Poppins"/>
          <w:color w:val="060645"/>
        </w:rPr>
        <w:t xml:space="preserve"> </w:t>
      </w:r>
    </w:p>
    <w:p w14:paraId="30E0CC83" w14:textId="406F22FC" w:rsidR="00D5643F" w:rsidRDefault="00D5643F" w:rsidP="00025A35">
      <w:pPr>
        <w:rPr>
          <w:rFonts w:ascii="Poppins" w:hAnsi="Poppins" w:cs="Poppins"/>
          <w:color w:val="060645"/>
        </w:rPr>
      </w:pPr>
      <w:r w:rsidRPr="00437630">
        <w:rPr>
          <w:rFonts w:ascii="Poppins" w:hAnsi="Poppins" w:cs="Poppins"/>
          <w:color w:val="060645"/>
        </w:rPr>
        <w:t xml:space="preserve">The scheme benefits from a tax exemption under Section 244 of the Income Tax (Earnings and Pensions) Act 2003. Since a portion of the employee’s salary is foregone, the employee pays less tax and NICs, and the employer </w:t>
      </w:r>
      <w:r w:rsidR="00B73918" w:rsidRPr="00437630">
        <w:rPr>
          <w:rFonts w:ascii="Poppins" w:hAnsi="Poppins" w:cs="Poppins"/>
          <w:color w:val="060645"/>
        </w:rPr>
        <w:t>can</w:t>
      </w:r>
      <w:r w:rsidRPr="00437630">
        <w:rPr>
          <w:rFonts w:ascii="Poppins" w:hAnsi="Poppins" w:cs="Poppins"/>
          <w:color w:val="060645"/>
        </w:rPr>
        <w:t xml:space="preserve"> save on employer NICs. </w:t>
      </w:r>
    </w:p>
    <w:p w14:paraId="029DFF42" w14:textId="02563510" w:rsidR="00437630" w:rsidRDefault="00437630" w:rsidP="00025A35">
      <w:pPr>
        <w:rPr>
          <w:rFonts w:ascii="Poppins" w:hAnsi="Poppins" w:cs="Poppins"/>
          <w:color w:val="060645"/>
        </w:rPr>
      </w:pPr>
    </w:p>
    <w:p w14:paraId="403E4F20" w14:textId="316E64D3" w:rsidR="00437630" w:rsidRDefault="00437630" w:rsidP="00025A35">
      <w:pPr>
        <w:rPr>
          <w:rFonts w:ascii="Poppins" w:hAnsi="Poppins" w:cs="Poppins"/>
          <w:color w:val="060645"/>
        </w:rPr>
      </w:pPr>
    </w:p>
    <w:p w14:paraId="731EBB8E" w14:textId="7D0E2CAB" w:rsidR="00437630" w:rsidRDefault="00437630" w:rsidP="00025A35">
      <w:pPr>
        <w:rPr>
          <w:rFonts w:ascii="Poppins" w:hAnsi="Poppins" w:cs="Poppins"/>
          <w:color w:val="060645"/>
        </w:rPr>
      </w:pPr>
    </w:p>
    <w:p w14:paraId="3B128E4A" w14:textId="231D267F" w:rsidR="00D5643F" w:rsidRPr="00437630" w:rsidRDefault="0020010A" w:rsidP="00025A35">
      <w:pPr>
        <w:rPr>
          <w:rFonts w:ascii="Poppins" w:hAnsi="Poppins" w:cs="Poppins"/>
          <w:color w:val="060645"/>
        </w:rPr>
      </w:pPr>
      <w:r w:rsidRPr="00437630">
        <w:rPr>
          <w:rFonts w:ascii="Poppins" w:hAnsi="Poppins" w:cs="Poppins"/>
          <w:color w:val="060645"/>
        </w:rPr>
        <w:lastRenderedPageBreak/>
        <w:t xml:space="preserve">The table below provides </w:t>
      </w:r>
      <w:r w:rsidR="00F962DF" w:rsidRPr="00437630">
        <w:rPr>
          <w:rFonts w:ascii="Poppins" w:hAnsi="Poppins" w:cs="Poppins"/>
          <w:color w:val="060645"/>
        </w:rPr>
        <w:t>an example</w:t>
      </w:r>
      <w:r w:rsidRPr="00437630">
        <w:rPr>
          <w:rFonts w:ascii="Poppins" w:hAnsi="Poppins" w:cs="Poppins"/>
          <w:color w:val="060645"/>
        </w:rPr>
        <w:t xml:space="preserve"> of how much can be saved by employees:</w:t>
      </w:r>
    </w:p>
    <w:tbl>
      <w:tblPr>
        <w:tblW w:w="0" w:type="auto"/>
        <w:tblInd w:w="2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843"/>
      </w:tblGrid>
      <w:tr w:rsidR="00437630" w:rsidRPr="00437630" w14:paraId="0ECF0B42" w14:textId="77777777" w:rsidTr="00F962DF">
        <w:trPr>
          <w:trHeight w:val="393"/>
        </w:trPr>
        <w:tc>
          <w:tcPr>
            <w:tcW w:w="2693" w:type="dxa"/>
            <w:vAlign w:val="center"/>
          </w:tcPr>
          <w:p w14:paraId="51E97869" w14:textId="77777777" w:rsidR="00F962DF" w:rsidRPr="00437630" w:rsidRDefault="00F962DF" w:rsidP="0020010A">
            <w:pPr>
              <w:pStyle w:val="Default"/>
              <w:jc w:val="center"/>
              <w:rPr>
                <w:rFonts w:ascii="Poppins" w:hAnsi="Poppins" w:cs="Poppins"/>
                <w:color w:val="060645"/>
                <w:sz w:val="22"/>
                <w:szCs w:val="22"/>
              </w:rPr>
            </w:pPr>
            <w:r w:rsidRPr="00437630">
              <w:rPr>
                <w:rFonts w:ascii="Poppins" w:hAnsi="Poppins" w:cs="Poppins"/>
                <w:b/>
                <w:bCs/>
                <w:color w:val="060645"/>
                <w:sz w:val="22"/>
                <w:szCs w:val="22"/>
              </w:rPr>
              <w:t>Examples of hire value</w:t>
            </w:r>
          </w:p>
        </w:tc>
        <w:tc>
          <w:tcPr>
            <w:tcW w:w="1843" w:type="dxa"/>
            <w:vAlign w:val="center"/>
          </w:tcPr>
          <w:p w14:paraId="04BD3196" w14:textId="40C862AC" w:rsidR="00F962DF" w:rsidRPr="00437630" w:rsidRDefault="00F962DF" w:rsidP="0020010A">
            <w:pPr>
              <w:pStyle w:val="Default"/>
              <w:jc w:val="center"/>
              <w:rPr>
                <w:rFonts w:ascii="Poppins" w:hAnsi="Poppins" w:cs="Poppins"/>
                <w:color w:val="060645"/>
                <w:sz w:val="22"/>
                <w:szCs w:val="22"/>
              </w:rPr>
            </w:pPr>
            <w:r w:rsidRPr="00437630">
              <w:rPr>
                <w:rFonts w:ascii="Poppins" w:hAnsi="Poppins" w:cs="Poppins"/>
                <w:b/>
                <w:bCs/>
                <w:color w:val="060645"/>
                <w:sz w:val="22"/>
                <w:szCs w:val="22"/>
              </w:rPr>
              <w:t>Savings</w:t>
            </w:r>
          </w:p>
        </w:tc>
      </w:tr>
      <w:tr w:rsidR="00437630" w:rsidRPr="00437630" w14:paraId="19DB4614" w14:textId="77777777" w:rsidTr="00F962DF">
        <w:trPr>
          <w:trHeight w:val="413"/>
        </w:trPr>
        <w:tc>
          <w:tcPr>
            <w:tcW w:w="2693" w:type="dxa"/>
            <w:vAlign w:val="center"/>
          </w:tcPr>
          <w:p w14:paraId="37EF9F25" w14:textId="77777777" w:rsidR="00F962DF" w:rsidRPr="00437630" w:rsidRDefault="00F962DF" w:rsidP="0020010A">
            <w:pPr>
              <w:pStyle w:val="Default"/>
              <w:jc w:val="center"/>
              <w:rPr>
                <w:rFonts w:ascii="Poppins" w:hAnsi="Poppins" w:cs="Poppins"/>
                <w:color w:val="060645"/>
                <w:sz w:val="22"/>
                <w:szCs w:val="22"/>
              </w:rPr>
            </w:pPr>
            <w:r w:rsidRPr="00437630">
              <w:rPr>
                <w:rFonts w:ascii="Poppins" w:hAnsi="Poppins" w:cs="Poppins"/>
                <w:color w:val="060645"/>
                <w:sz w:val="22"/>
                <w:szCs w:val="22"/>
              </w:rPr>
              <w:t>£500</w:t>
            </w:r>
          </w:p>
        </w:tc>
        <w:tc>
          <w:tcPr>
            <w:tcW w:w="1843" w:type="dxa"/>
            <w:vAlign w:val="center"/>
          </w:tcPr>
          <w:p w14:paraId="7EB922CF" w14:textId="77777777" w:rsidR="00F962DF" w:rsidRPr="00437630" w:rsidRDefault="00F962DF" w:rsidP="0020010A">
            <w:pPr>
              <w:pStyle w:val="Default"/>
              <w:jc w:val="center"/>
              <w:rPr>
                <w:rFonts w:ascii="Poppins" w:hAnsi="Poppins" w:cs="Poppins"/>
                <w:color w:val="060645"/>
                <w:sz w:val="22"/>
                <w:szCs w:val="22"/>
              </w:rPr>
            </w:pPr>
            <w:r w:rsidRPr="00437630">
              <w:rPr>
                <w:rFonts w:ascii="Poppins" w:hAnsi="Poppins" w:cs="Poppins"/>
                <w:color w:val="060645"/>
                <w:sz w:val="22"/>
                <w:szCs w:val="22"/>
              </w:rPr>
              <w:t>£80</w:t>
            </w:r>
          </w:p>
        </w:tc>
      </w:tr>
      <w:tr w:rsidR="00437630" w:rsidRPr="00437630" w14:paraId="1C19129F" w14:textId="77777777" w:rsidTr="00F962DF">
        <w:trPr>
          <w:trHeight w:val="418"/>
        </w:trPr>
        <w:tc>
          <w:tcPr>
            <w:tcW w:w="2693" w:type="dxa"/>
            <w:vAlign w:val="center"/>
          </w:tcPr>
          <w:p w14:paraId="0C1C2970" w14:textId="77777777" w:rsidR="00F962DF" w:rsidRPr="00437630" w:rsidRDefault="00F962DF" w:rsidP="0020010A">
            <w:pPr>
              <w:pStyle w:val="Default"/>
              <w:jc w:val="center"/>
              <w:rPr>
                <w:rFonts w:ascii="Poppins" w:hAnsi="Poppins" w:cs="Poppins"/>
                <w:color w:val="060645"/>
                <w:sz w:val="22"/>
                <w:szCs w:val="22"/>
              </w:rPr>
            </w:pPr>
            <w:r w:rsidRPr="00437630">
              <w:rPr>
                <w:rFonts w:ascii="Poppins" w:hAnsi="Poppins" w:cs="Poppins"/>
                <w:color w:val="060645"/>
                <w:sz w:val="22"/>
                <w:szCs w:val="22"/>
              </w:rPr>
              <w:t>£750</w:t>
            </w:r>
          </w:p>
        </w:tc>
        <w:tc>
          <w:tcPr>
            <w:tcW w:w="1843" w:type="dxa"/>
            <w:vAlign w:val="center"/>
          </w:tcPr>
          <w:p w14:paraId="2F6E5BB2" w14:textId="77777777" w:rsidR="00F962DF" w:rsidRPr="00437630" w:rsidRDefault="00F962DF" w:rsidP="0020010A">
            <w:pPr>
              <w:pStyle w:val="Default"/>
              <w:jc w:val="center"/>
              <w:rPr>
                <w:rFonts w:ascii="Poppins" w:hAnsi="Poppins" w:cs="Poppins"/>
                <w:color w:val="060645"/>
                <w:sz w:val="22"/>
                <w:szCs w:val="22"/>
              </w:rPr>
            </w:pPr>
            <w:r w:rsidRPr="00437630">
              <w:rPr>
                <w:rFonts w:ascii="Poppins" w:hAnsi="Poppins" w:cs="Poppins"/>
                <w:color w:val="060645"/>
                <w:sz w:val="22"/>
                <w:szCs w:val="22"/>
              </w:rPr>
              <w:t>£120</w:t>
            </w:r>
          </w:p>
        </w:tc>
      </w:tr>
      <w:tr w:rsidR="00F962DF" w:rsidRPr="00437630" w14:paraId="562E9FF7" w14:textId="77777777" w:rsidTr="00F962DF">
        <w:trPr>
          <w:trHeight w:val="425"/>
        </w:trPr>
        <w:tc>
          <w:tcPr>
            <w:tcW w:w="2693" w:type="dxa"/>
            <w:vAlign w:val="center"/>
          </w:tcPr>
          <w:p w14:paraId="08EC1E21" w14:textId="77777777" w:rsidR="00F962DF" w:rsidRPr="00437630" w:rsidRDefault="00F962DF" w:rsidP="0020010A">
            <w:pPr>
              <w:pStyle w:val="Default"/>
              <w:jc w:val="center"/>
              <w:rPr>
                <w:rFonts w:ascii="Poppins" w:hAnsi="Poppins" w:cs="Poppins"/>
                <w:color w:val="060645"/>
                <w:sz w:val="22"/>
                <w:szCs w:val="22"/>
              </w:rPr>
            </w:pPr>
            <w:r w:rsidRPr="00437630">
              <w:rPr>
                <w:rFonts w:ascii="Poppins" w:hAnsi="Poppins" w:cs="Poppins"/>
                <w:color w:val="060645"/>
                <w:sz w:val="22"/>
                <w:szCs w:val="22"/>
              </w:rPr>
              <w:t>£1,000</w:t>
            </w:r>
          </w:p>
        </w:tc>
        <w:tc>
          <w:tcPr>
            <w:tcW w:w="1843" w:type="dxa"/>
            <w:vAlign w:val="center"/>
          </w:tcPr>
          <w:p w14:paraId="654C8C96" w14:textId="77777777" w:rsidR="00F962DF" w:rsidRPr="00437630" w:rsidRDefault="00F962DF" w:rsidP="0020010A">
            <w:pPr>
              <w:pStyle w:val="Default"/>
              <w:jc w:val="center"/>
              <w:rPr>
                <w:rFonts w:ascii="Poppins" w:hAnsi="Poppins" w:cs="Poppins"/>
                <w:color w:val="060645"/>
                <w:sz w:val="22"/>
                <w:szCs w:val="22"/>
              </w:rPr>
            </w:pPr>
            <w:r w:rsidRPr="00437630">
              <w:rPr>
                <w:rFonts w:ascii="Poppins" w:hAnsi="Poppins" w:cs="Poppins"/>
                <w:color w:val="060645"/>
                <w:sz w:val="22"/>
                <w:szCs w:val="22"/>
              </w:rPr>
              <w:t>£160</w:t>
            </w:r>
          </w:p>
        </w:tc>
      </w:tr>
    </w:tbl>
    <w:p w14:paraId="143E2E05" w14:textId="77777777" w:rsidR="003F460A" w:rsidRPr="00437630" w:rsidRDefault="003F460A" w:rsidP="003F460A">
      <w:pPr>
        <w:rPr>
          <w:rFonts w:ascii="Poppins" w:hAnsi="Poppins" w:cs="Poppins"/>
          <w:b/>
          <w:bCs/>
          <w:color w:val="060645"/>
        </w:rPr>
      </w:pPr>
    </w:p>
    <w:p w14:paraId="1B8461C6" w14:textId="71CE5921" w:rsidR="0020010A" w:rsidRPr="00437630" w:rsidRDefault="0010325D" w:rsidP="003F460A">
      <w:pPr>
        <w:rPr>
          <w:rFonts w:ascii="Poppins" w:hAnsi="Poppins" w:cs="Poppins"/>
          <w:color w:val="060645"/>
        </w:rPr>
      </w:pPr>
      <w:r w:rsidRPr="00437630">
        <w:rPr>
          <w:rFonts w:ascii="Poppins" w:hAnsi="Poppins" w:cs="Poppins"/>
          <w:b/>
          <w:bCs/>
          <w:color w:val="060645"/>
        </w:rPr>
        <w:t>3</w:t>
      </w:r>
      <w:r w:rsidR="0020010A" w:rsidRPr="00437630">
        <w:rPr>
          <w:rFonts w:ascii="Poppins" w:hAnsi="Poppins" w:cs="Poppins"/>
          <w:b/>
          <w:bCs/>
          <w:color w:val="060645"/>
        </w:rPr>
        <w:t xml:space="preserve">.1 </w:t>
      </w:r>
      <w:r w:rsidR="004527EB" w:rsidRPr="00437630">
        <w:rPr>
          <w:rFonts w:ascii="Poppins" w:hAnsi="Poppins" w:cs="Poppins"/>
          <w:b/>
          <w:bCs/>
          <w:color w:val="060645"/>
        </w:rPr>
        <w:t xml:space="preserve">Time periods of </w:t>
      </w:r>
      <w:r w:rsidR="00727344" w:rsidRPr="00437630">
        <w:rPr>
          <w:rFonts w:ascii="Poppins" w:hAnsi="Poppins" w:cs="Poppins"/>
          <w:b/>
          <w:bCs/>
          <w:color w:val="060645"/>
        </w:rPr>
        <w:t>the scheme</w:t>
      </w:r>
    </w:p>
    <w:p w14:paraId="64CF3247" w14:textId="4C1EE35B" w:rsidR="00B75F8F" w:rsidRPr="00437630" w:rsidRDefault="004527EB" w:rsidP="003F460A">
      <w:pPr>
        <w:rPr>
          <w:rFonts w:ascii="Poppins" w:hAnsi="Poppins" w:cs="Poppins"/>
          <w:color w:val="060645"/>
        </w:rPr>
      </w:pPr>
      <w:r w:rsidRPr="00437630">
        <w:rPr>
          <w:rFonts w:ascii="Poppins" w:hAnsi="Poppins" w:cs="Poppins"/>
          <w:color w:val="060645"/>
        </w:rPr>
        <w:t xml:space="preserve">The salary sacrifice </w:t>
      </w:r>
      <w:r w:rsidR="00D85103" w:rsidRPr="00437630">
        <w:rPr>
          <w:rFonts w:ascii="Poppins" w:hAnsi="Poppins" w:cs="Poppins"/>
          <w:color w:val="060645"/>
        </w:rPr>
        <w:t xml:space="preserve">deduction </w:t>
      </w:r>
      <w:r w:rsidRPr="00437630">
        <w:rPr>
          <w:rFonts w:ascii="Poppins" w:hAnsi="Poppins" w:cs="Poppins"/>
          <w:color w:val="060645"/>
        </w:rPr>
        <w:t>arrangement</w:t>
      </w:r>
      <w:r w:rsidR="00D85103" w:rsidRPr="00437630">
        <w:rPr>
          <w:rFonts w:ascii="Poppins" w:hAnsi="Poppins" w:cs="Poppins"/>
          <w:color w:val="060645"/>
        </w:rPr>
        <w:t>s</w:t>
      </w:r>
      <w:r w:rsidRPr="00437630">
        <w:rPr>
          <w:rFonts w:ascii="Poppins" w:hAnsi="Poppins" w:cs="Poppins"/>
          <w:color w:val="060645"/>
        </w:rPr>
        <w:t xml:space="preserve"> </w:t>
      </w:r>
      <w:r w:rsidR="00D85103" w:rsidRPr="00437630">
        <w:rPr>
          <w:rFonts w:ascii="Poppins" w:hAnsi="Poppins" w:cs="Poppins"/>
          <w:color w:val="060645"/>
        </w:rPr>
        <w:t>are</w:t>
      </w:r>
      <w:r w:rsidRPr="00437630">
        <w:rPr>
          <w:rFonts w:ascii="Poppins" w:hAnsi="Poppins" w:cs="Poppins"/>
          <w:color w:val="060645"/>
        </w:rPr>
        <w:t xml:space="preserve"> typically for </w:t>
      </w:r>
      <w:r w:rsidR="007B3007" w:rsidRPr="00437630">
        <w:rPr>
          <w:rFonts w:ascii="Poppins" w:hAnsi="Poppins" w:cs="Poppins"/>
          <w:color w:val="060645"/>
        </w:rPr>
        <w:t xml:space="preserve">a minimum of </w:t>
      </w:r>
      <w:r w:rsidRPr="00437630">
        <w:rPr>
          <w:rFonts w:ascii="Poppins" w:hAnsi="Poppins" w:cs="Poppins"/>
          <w:color w:val="060645"/>
        </w:rPr>
        <w:t xml:space="preserve">12 months. </w:t>
      </w:r>
      <w:r w:rsidR="00D85103" w:rsidRPr="00437630">
        <w:rPr>
          <w:rFonts w:ascii="Poppins" w:hAnsi="Poppins" w:cs="Poppins"/>
          <w:color w:val="060645"/>
        </w:rPr>
        <w:t>During this period of time the full cost of the bicycle is recovered from the employee.</w:t>
      </w:r>
    </w:p>
    <w:p w14:paraId="40A7992F" w14:textId="5804EFA0" w:rsidR="004527EB" w:rsidRPr="00437630" w:rsidRDefault="00B75F8F" w:rsidP="003F460A">
      <w:pPr>
        <w:rPr>
          <w:rFonts w:ascii="Poppins" w:hAnsi="Poppins" w:cs="Poppins"/>
          <w:color w:val="060645"/>
        </w:rPr>
      </w:pPr>
      <w:r w:rsidRPr="00437630">
        <w:rPr>
          <w:rFonts w:ascii="Poppins" w:hAnsi="Poppins" w:cs="Poppins"/>
          <w:color w:val="060645"/>
        </w:rPr>
        <w:t>The</w:t>
      </w:r>
      <w:r w:rsidR="004527EB" w:rsidRPr="00437630">
        <w:rPr>
          <w:rFonts w:ascii="Poppins" w:hAnsi="Poppins" w:cs="Poppins"/>
          <w:color w:val="060645"/>
        </w:rPr>
        <w:t xml:space="preserve"> </w:t>
      </w:r>
      <w:r w:rsidRPr="00437630">
        <w:rPr>
          <w:rFonts w:ascii="Poppins" w:hAnsi="Poppins" w:cs="Poppins"/>
          <w:color w:val="060645"/>
        </w:rPr>
        <w:t xml:space="preserve">length of the hire agreement is </w:t>
      </w:r>
      <w:r w:rsidR="00D85103" w:rsidRPr="00437630">
        <w:rPr>
          <w:rFonts w:ascii="Poppins" w:hAnsi="Poppins" w:cs="Poppins"/>
          <w:color w:val="060645"/>
        </w:rPr>
        <w:t xml:space="preserve">a maximum of </w:t>
      </w:r>
      <w:r w:rsidRPr="00437630">
        <w:rPr>
          <w:rFonts w:ascii="Poppins" w:hAnsi="Poppins" w:cs="Poppins"/>
          <w:color w:val="060645"/>
        </w:rPr>
        <w:t>5 years</w:t>
      </w:r>
      <w:r w:rsidR="00D85103" w:rsidRPr="00437630">
        <w:rPr>
          <w:rFonts w:ascii="Poppins" w:hAnsi="Poppins" w:cs="Poppins"/>
          <w:color w:val="060645"/>
        </w:rPr>
        <w:t xml:space="preserve">, the employee determines this period depending on when the transfer of ownership is </w:t>
      </w:r>
      <w:r w:rsidR="006950E2" w:rsidRPr="00437630">
        <w:rPr>
          <w:rFonts w:ascii="Poppins" w:hAnsi="Poppins" w:cs="Poppins"/>
          <w:color w:val="060645"/>
        </w:rPr>
        <w:t>undertaken by the employee</w:t>
      </w:r>
      <w:r w:rsidR="00D85103" w:rsidRPr="00437630">
        <w:rPr>
          <w:rFonts w:ascii="Poppins" w:hAnsi="Poppins" w:cs="Poppins"/>
          <w:color w:val="060645"/>
        </w:rPr>
        <w:t>.</w:t>
      </w:r>
    </w:p>
    <w:p w14:paraId="06A69018" w14:textId="5069B799" w:rsidR="00DB4873" w:rsidRPr="00437630" w:rsidRDefault="00DB4873" w:rsidP="003F460A">
      <w:pPr>
        <w:rPr>
          <w:rFonts w:ascii="Poppins" w:hAnsi="Poppins" w:cs="Poppins"/>
          <w:color w:val="060645"/>
        </w:rPr>
      </w:pPr>
      <w:r w:rsidRPr="00437630">
        <w:rPr>
          <w:rFonts w:ascii="Poppins" w:hAnsi="Poppins" w:cs="Poppins"/>
          <w:color w:val="060645"/>
        </w:rPr>
        <w:t xml:space="preserve">Your duration of </w:t>
      </w:r>
      <w:r w:rsidR="00B75F8F" w:rsidRPr="00437630">
        <w:rPr>
          <w:rFonts w:ascii="Poppins" w:hAnsi="Poppins" w:cs="Poppins"/>
          <w:color w:val="060645"/>
        </w:rPr>
        <w:t xml:space="preserve">the </w:t>
      </w:r>
      <w:r w:rsidRPr="00437630">
        <w:rPr>
          <w:rFonts w:ascii="Poppins" w:hAnsi="Poppins" w:cs="Poppins"/>
          <w:color w:val="060645"/>
        </w:rPr>
        <w:t>hire</w:t>
      </w:r>
      <w:r w:rsidR="00B75F8F" w:rsidRPr="00437630">
        <w:rPr>
          <w:rFonts w:ascii="Poppins" w:hAnsi="Poppins" w:cs="Poppins"/>
          <w:color w:val="060645"/>
        </w:rPr>
        <w:t xml:space="preserve"> period</w:t>
      </w:r>
      <w:r w:rsidRPr="00437630">
        <w:rPr>
          <w:rFonts w:ascii="Poppins" w:hAnsi="Poppins" w:cs="Poppins"/>
          <w:color w:val="060645"/>
        </w:rPr>
        <w:t xml:space="preserve"> will commence on the date of the salary sacrifice. Th</w:t>
      </w:r>
      <w:r w:rsidR="006950E2" w:rsidRPr="00437630">
        <w:rPr>
          <w:rFonts w:ascii="Poppins" w:hAnsi="Poppins" w:cs="Poppins"/>
          <w:color w:val="060645"/>
        </w:rPr>
        <w:t>is</w:t>
      </w:r>
      <w:r w:rsidRPr="00437630">
        <w:rPr>
          <w:rFonts w:ascii="Poppins" w:hAnsi="Poppins" w:cs="Poppins"/>
          <w:color w:val="060645"/>
        </w:rPr>
        <w:t xml:space="preserve"> hire </w:t>
      </w:r>
      <w:r w:rsidR="006950E2" w:rsidRPr="00437630">
        <w:rPr>
          <w:rFonts w:ascii="Poppins" w:hAnsi="Poppins" w:cs="Poppins"/>
          <w:color w:val="060645"/>
        </w:rPr>
        <w:t xml:space="preserve">agreement </w:t>
      </w:r>
      <w:r w:rsidRPr="00437630">
        <w:rPr>
          <w:rFonts w:ascii="Poppins" w:hAnsi="Poppins" w:cs="Poppins"/>
          <w:color w:val="060645"/>
        </w:rPr>
        <w:t>period i</w:t>
      </w:r>
      <w:r w:rsidR="00B75F8F" w:rsidRPr="00437630">
        <w:rPr>
          <w:rFonts w:ascii="Poppins" w:hAnsi="Poppins" w:cs="Poppins"/>
          <w:color w:val="060645"/>
        </w:rPr>
        <w:t>s</w:t>
      </w:r>
      <w:r w:rsidRPr="00437630">
        <w:rPr>
          <w:rFonts w:ascii="Poppins" w:hAnsi="Poppins" w:cs="Poppins"/>
          <w:color w:val="060645"/>
        </w:rPr>
        <w:t xml:space="preserve"> fixed and cannot be changed.  </w:t>
      </w:r>
    </w:p>
    <w:p w14:paraId="78AC7903" w14:textId="64FCAE0B" w:rsidR="004527EB" w:rsidRPr="00063AD3" w:rsidRDefault="00CD474D" w:rsidP="003F460A">
      <w:pPr>
        <w:rPr>
          <w:rFonts w:ascii="Poppins" w:hAnsi="Poppins" w:cs="Poppins"/>
          <w:sz w:val="20"/>
          <w:szCs w:val="20"/>
        </w:rPr>
      </w:pPr>
      <w:r w:rsidRPr="00063AD3">
        <w:rPr>
          <w:rFonts w:ascii="Poppins" w:hAnsi="Poppins" w:cs="Poppins"/>
          <w:color w:val="060645"/>
        </w:rPr>
        <w:t xml:space="preserve">Missing payments could have severe consequences and may make obtaining credit more difficult. </w:t>
      </w:r>
    </w:p>
    <w:p w14:paraId="24182095" w14:textId="0E493038" w:rsidR="00DC65E3" w:rsidRPr="00437630" w:rsidRDefault="00DC65E3" w:rsidP="003F460A">
      <w:pPr>
        <w:rPr>
          <w:rFonts w:ascii="Poppins" w:hAnsi="Poppins" w:cs="Poppins"/>
          <w:b/>
          <w:bCs/>
          <w:color w:val="060645"/>
        </w:rPr>
      </w:pPr>
      <w:r w:rsidRPr="00437630">
        <w:rPr>
          <w:rFonts w:ascii="Poppins" w:hAnsi="Poppins" w:cs="Poppins"/>
          <w:b/>
          <w:bCs/>
          <w:color w:val="060645"/>
        </w:rPr>
        <w:t>3.2 Eligibility</w:t>
      </w:r>
    </w:p>
    <w:p w14:paraId="679F6511" w14:textId="7A3C7CF3" w:rsidR="00DC65E3" w:rsidRPr="00437630" w:rsidRDefault="00DC65E3" w:rsidP="003F460A">
      <w:pPr>
        <w:rPr>
          <w:rFonts w:ascii="Poppins" w:hAnsi="Poppins" w:cs="Poppins"/>
          <w:color w:val="060645"/>
        </w:rPr>
      </w:pPr>
      <w:r w:rsidRPr="00437630">
        <w:rPr>
          <w:rFonts w:ascii="Poppins" w:hAnsi="Poppins" w:cs="Poppins"/>
          <w:color w:val="060645"/>
        </w:rPr>
        <w:t>To be eligible for the tax exemptions and enter into a hire agreement the following conditions must be satisfied: -</w:t>
      </w:r>
    </w:p>
    <w:p w14:paraId="3A748C98" w14:textId="2F0B90DB" w:rsidR="00DC65E3" w:rsidRPr="00437630" w:rsidRDefault="00DC65E3" w:rsidP="004155C9">
      <w:pPr>
        <w:pStyle w:val="ListParagraph"/>
        <w:numPr>
          <w:ilvl w:val="0"/>
          <w:numId w:val="13"/>
        </w:numPr>
        <w:ind w:left="1440"/>
        <w:rPr>
          <w:rFonts w:ascii="Poppins" w:hAnsi="Poppins" w:cs="Poppins"/>
          <w:color w:val="060645"/>
        </w:rPr>
      </w:pPr>
      <w:r w:rsidRPr="00437630">
        <w:rPr>
          <w:rFonts w:ascii="Poppins" w:hAnsi="Poppins" w:cs="Poppins"/>
          <w:color w:val="060645"/>
        </w:rPr>
        <w:t>You must be a UK PAYE taxpayer</w:t>
      </w:r>
    </w:p>
    <w:p w14:paraId="220B515F" w14:textId="0180918C" w:rsidR="00DC65E3" w:rsidRPr="00437630" w:rsidRDefault="00DC65E3" w:rsidP="004155C9">
      <w:pPr>
        <w:pStyle w:val="ListParagraph"/>
        <w:numPr>
          <w:ilvl w:val="0"/>
          <w:numId w:val="13"/>
        </w:numPr>
        <w:ind w:left="1440"/>
        <w:rPr>
          <w:rFonts w:ascii="Poppins" w:hAnsi="Poppins" w:cs="Poppins"/>
          <w:color w:val="060645"/>
        </w:rPr>
      </w:pPr>
      <w:r w:rsidRPr="00437630">
        <w:rPr>
          <w:rFonts w:ascii="Poppins" w:hAnsi="Poppins" w:cs="Poppins"/>
          <w:color w:val="060645"/>
        </w:rPr>
        <w:t xml:space="preserve">You must use the </w:t>
      </w:r>
      <w:r w:rsidR="006950E2" w:rsidRPr="00437630">
        <w:rPr>
          <w:rFonts w:ascii="Poppins" w:hAnsi="Poppins" w:cs="Poppins"/>
          <w:color w:val="060645"/>
        </w:rPr>
        <w:t xml:space="preserve">bicycle / </w:t>
      </w:r>
      <w:r w:rsidRPr="00437630">
        <w:rPr>
          <w:rFonts w:ascii="Poppins" w:hAnsi="Poppins" w:cs="Poppins"/>
          <w:color w:val="060645"/>
        </w:rPr>
        <w:t>equipment mainly for commuting</w:t>
      </w:r>
      <w:r w:rsidR="006950E2" w:rsidRPr="00437630">
        <w:rPr>
          <w:rFonts w:ascii="Poppins" w:hAnsi="Poppins" w:cs="Poppins"/>
          <w:color w:val="060645"/>
        </w:rPr>
        <w:t xml:space="preserve"> to work</w:t>
      </w:r>
    </w:p>
    <w:p w14:paraId="4E35EB17" w14:textId="23A94D1C" w:rsidR="00DC65E3" w:rsidRPr="00437630" w:rsidRDefault="00DC65E3" w:rsidP="004155C9">
      <w:pPr>
        <w:pStyle w:val="ListParagraph"/>
        <w:numPr>
          <w:ilvl w:val="0"/>
          <w:numId w:val="13"/>
        </w:numPr>
        <w:ind w:left="1440"/>
        <w:rPr>
          <w:rFonts w:ascii="Poppins" w:hAnsi="Poppins" w:cs="Poppins"/>
          <w:color w:val="060645"/>
        </w:rPr>
      </w:pPr>
      <w:r w:rsidRPr="00437630">
        <w:rPr>
          <w:rFonts w:ascii="Poppins" w:hAnsi="Poppins" w:cs="Poppins"/>
          <w:color w:val="060645"/>
        </w:rPr>
        <w:t>You must be 18 years and over</w:t>
      </w:r>
    </w:p>
    <w:p w14:paraId="30FFF4D4" w14:textId="30782001" w:rsidR="00DC65E3" w:rsidRPr="00437630" w:rsidRDefault="00DC65E3" w:rsidP="004155C9">
      <w:pPr>
        <w:pStyle w:val="ListParagraph"/>
        <w:numPr>
          <w:ilvl w:val="0"/>
          <w:numId w:val="13"/>
        </w:numPr>
        <w:ind w:left="1440"/>
        <w:rPr>
          <w:rFonts w:ascii="Poppins" w:hAnsi="Poppins" w:cs="Poppins"/>
          <w:color w:val="060645"/>
        </w:rPr>
      </w:pPr>
      <w:r w:rsidRPr="00437630">
        <w:rPr>
          <w:rFonts w:ascii="Poppins" w:hAnsi="Poppins" w:cs="Poppins"/>
          <w:color w:val="060645"/>
        </w:rPr>
        <w:t>The equipment you hire must be a bi</w:t>
      </w:r>
      <w:r w:rsidR="006950E2" w:rsidRPr="00437630">
        <w:rPr>
          <w:rFonts w:ascii="Poppins" w:hAnsi="Poppins" w:cs="Poppins"/>
          <w:color w:val="060645"/>
        </w:rPr>
        <w:t>cycle</w:t>
      </w:r>
      <w:r w:rsidRPr="00437630">
        <w:rPr>
          <w:rFonts w:ascii="Poppins" w:hAnsi="Poppins" w:cs="Poppins"/>
          <w:color w:val="060645"/>
        </w:rPr>
        <w:t xml:space="preserve"> and/or </w:t>
      </w:r>
      <w:r w:rsidR="006950E2" w:rsidRPr="00437630">
        <w:rPr>
          <w:rFonts w:ascii="Poppins" w:hAnsi="Poppins" w:cs="Poppins"/>
          <w:color w:val="060645"/>
        </w:rPr>
        <w:t xml:space="preserve">any </w:t>
      </w:r>
      <w:r w:rsidRPr="00437630">
        <w:rPr>
          <w:rFonts w:ascii="Poppins" w:hAnsi="Poppins" w:cs="Poppins"/>
          <w:color w:val="060645"/>
        </w:rPr>
        <w:t>related equipment</w:t>
      </w:r>
    </w:p>
    <w:p w14:paraId="0CCA9606" w14:textId="52369355" w:rsidR="001F7D6C" w:rsidRPr="00437630" w:rsidRDefault="001F7D6C" w:rsidP="001F7D6C">
      <w:pPr>
        <w:rPr>
          <w:rFonts w:ascii="Poppins" w:hAnsi="Poppins" w:cs="Poppins"/>
          <w:color w:val="060645"/>
        </w:rPr>
      </w:pPr>
      <w:r w:rsidRPr="00437630">
        <w:rPr>
          <w:rFonts w:ascii="Poppins" w:hAnsi="Poppins" w:cs="Poppins"/>
          <w:color w:val="060645"/>
        </w:rPr>
        <w:t>Only cycles for active travel and cyclist’s safety equipment can be hired under the government’s Cycle to Work scheme.</w:t>
      </w:r>
    </w:p>
    <w:p w14:paraId="03C8ADCD" w14:textId="6DAE3EC2" w:rsidR="005A2970" w:rsidRPr="00437630" w:rsidRDefault="0000673B" w:rsidP="004155C9">
      <w:pPr>
        <w:rPr>
          <w:rFonts w:ascii="Poppins" w:hAnsi="Poppins" w:cs="Poppins"/>
          <w:b/>
          <w:bCs/>
          <w:color w:val="060645"/>
        </w:rPr>
      </w:pPr>
      <w:r w:rsidRPr="00437630">
        <w:rPr>
          <w:rFonts w:ascii="Poppins" w:hAnsi="Poppins" w:cs="Poppins"/>
          <w:b/>
          <w:bCs/>
          <w:color w:val="060645"/>
        </w:rPr>
        <w:t xml:space="preserve">4.0 </w:t>
      </w:r>
      <w:r w:rsidR="003F19E9" w:rsidRPr="00437630">
        <w:rPr>
          <w:rFonts w:ascii="Poppins" w:hAnsi="Poppins" w:cs="Poppins"/>
          <w:b/>
          <w:bCs/>
          <w:color w:val="060645"/>
        </w:rPr>
        <w:t>Employee</w:t>
      </w:r>
      <w:r w:rsidR="005A2970" w:rsidRPr="00437630">
        <w:rPr>
          <w:rFonts w:ascii="Poppins" w:hAnsi="Poppins" w:cs="Poppins"/>
          <w:b/>
          <w:bCs/>
          <w:color w:val="060645"/>
        </w:rPr>
        <w:t xml:space="preserve"> hire agreement</w:t>
      </w:r>
    </w:p>
    <w:p w14:paraId="25634B7A" w14:textId="6980C365" w:rsidR="005A2970" w:rsidRPr="00437630" w:rsidRDefault="006D595A" w:rsidP="00AF2617">
      <w:pPr>
        <w:rPr>
          <w:rFonts w:ascii="Poppins" w:hAnsi="Poppins" w:cs="Poppins"/>
          <w:color w:val="060645"/>
        </w:rPr>
      </w:pPr>
      <w:r w:rsidRPr="00437630">
        <w:rPr>
          <w:rFonts w:ascii="Poppins" w:hAnsi="Poppins" w:cs="Poppins"/>
          <w:color w:val="060645"/>
        </w:rPr>
        <w:t xml:space="preserve">The hire agreement is a </w:t>
      </w:r>
      <w:r w:rsidR="00B75F8F" w:rsidRPr="00437630">
        <w:rPr>
          <w:rFonts w:ascii="Poppins" w:hAnsi="Poppins" w:cs="Poppins"/>
          <w:color w:val="060645"/>
        </w:rPr>
        <w:t xml:space="preserve">5-year </w:t>
      </w:r>
      <w:r w:rsidRPr="00437630">
        <w:rPr>
          <w:rFonts w:ascii="Poppins" w:hAnsi="Poppins" w:cs="Poppins"/>
          <w:color w:val="060645"/>
        </w:rPr>
        <w:t xml:space="preserve">legal agreement between you (the employee) and the owner of the bike (the </w:t>
      </w:r>
      <w:r w:rsidR="001F7D6C" w:rsidRPr="00437630">
        <w:rPr>
          <w:rFonts w:ascii="Poppins" w:hAnsi="Poppins" w:cs="Poppins"/>
          <w:color w:val="060645"/>
        </w:rPr>
        <w:t xml:space="preserve">Open University </w:t>
      </w:r>
      <w:r w:rsidR="00DC65E3" w:rsidRPr="00437630">
        <w:rPr>
          <w:rFonts w:ascii="Poppins" w:hAnsi="Poppins" w:cs="Poppins"/>
          <w:color w:val="060645"/>
        </w:rPr>
        <w:t>and/</w:t>
      </w:r>
      <w:r w:rsidRPr="00437630">
        <w:rPr>
          <w:rFonts w:ascii="Poppins" w:hAnsi="Poppins" w:cs="Poppins"/>
          <w:color w:val="060645"/>
        </w:rPr>
        <w:t>or Cycl</w:t>
      </w:r>
      <w:r w:rsidR="00B75F8F" w:rsidRPr="00437630">
        <w:rPr>
          <w:rFonts w:ascii="Poppins" w:hAnsi="Poppins" w:cs="Poppins"/>
          <w:color w:val="060645"/>
        </w:rPr>
        <w:t>e</w:t>
      </w:r>
      <w:r w:rsidRPr="00437630">
        <w:rPr>
          <w:rFonts w:ascii="Poppins" w:hAnsi="Poppins" w:cs="Poppins"/>
          <w:color w:val="060645"/>
        </w:rPr>
        <w:t>scheme). Th</w:t>
      </w:r>
      <w:r w:rsidR="001F7D6C" w:rsidRPr="00437630">
        <w:rPr>
          <w:rFonts w:ascii="Poppins" w:hAnsi="Poppins" w:cs="Poppins"/>
          <w:color w:val="060645"/>
        </w:rPr>
        <w:t xml:space="preserve">e hire </w:t>
      </w:r>
      <w:r w:rsidRPr="00437630">
        <w:rPr>
          <w:rFonts w:ascii="Poppins" w:hAnsi="Poppins" w:cs="Poppins"/>
          <w:color w:val="060645"/>
        </w:rPr>
        <w:t xml:space="preserve">agreement </w:t>
      </w:r>
      <w:r w:rsidR="001F7D6C" w:rsidRPr="00437630">
        <w:rPr>
          <w:rFonts w:ascii="Poppins" w:hAnsi="Poppins" w:cs="Poppins"/>
          <w:color w:val="060645"/>
        </w:rPr>
        <w:t>will set out</w:t>
      </w:r>
      <w:r w:rsidRPr="00437630">
        <w:rPr>
          <w:rFonts w:ascii="Poppins" w:hAnsi="Poppins" w:cs="Poppins"/>
          <w:color w:val="060645"/>
        </w:rPr>
        <w:t xml:space="preserve"> both parties’ responsibilities and details the value</w:t>
      </w:r>
      <w:r w:rsidR="006950E2" w:rsidRPr="00437630">
        <w:rPr>
          <w:rFonts w:ascii="Poppins" w:hAnsi="Poppins" w:cs="Poppins"/>
          <w:color w:val="060645"/>
        </w:rPr>
        <w:t>,</w:t>
      </w:r>
      <w:r w:rsidRPr="00437630">
        <w:rPr>
          <w:rFonts w:ascii="Poppins" w:hAnsi="Poppins" w:cs="Poppins"/>
          <w:color w:val="060645"/>
        </w:rPr>
        <w:t xml:space="preserve"> </w:t>
      </w:r>
      <w:r w:rsidRPr="00437630">
        <w:rPr>
          <w:rFonts w:ascii="Poppins" w:hAnsi="Poppins" w:cs="Poppins"/>
          <w:color w:val="060645"/>
        </w:rPr>
        <w:lastRenderedPageBreak/>
        <w:t>frequency of the required salary sacrifice payments</w:t>
      </w:r>
      <w:r w:rsidR="006950E2" w:rsidRPr="00437630">
        <w:rPr>
          <w:rFonts w:ascii="Poppins" w:hAnsi="Poppins" w:cs="Poppins"/>
          <w:color w:val="060645"/>
        </w:rPr>
        <w:t xml:space="preserve">, </w:t>
      </w:r>
      <w:r w:rsidRPr="00437630">
        <w:rPr>
          <w:rFonts w:ascii="Poppins" w:hAnsi="Poppins" w:cs="Poppins"/>
          <w:color w:val="060645"/>
        </w:rPr>
        <w:t xml:space="preserve">employee cancellation rights and all </w:t>
      </w:r>
      <w:r w:rsidR="00147980" w:rsidRPr="00437630">
        <w:rPr>
          <w:rFonts w:ascii="Poppins" w:hAnsi="Poppins" w:cs="Poppins"/>
          <w:color w:val="060645"/>
        </w:rPr>
        <w:t xml:space="preserve">other important terms and conditions which govern the scheme. </w:t>
      </w:r>
    </w:p>
    <w:p w14:paraId="1A04E638" w14:textId="4992A43B" w:rsidR="00147980" w:rsidRPr="00437630" w:rsidRDefault="00147980" w:rsidP="00AF2617">
      <w:pPr>
        <w:rPr>
          <w:rFonts w:ascii="Poppins" w:hAnsi="Poppins" w:cs="Poppins"/>
          <w:color w:val="060645"/>
        </w:rPr>
      </w:pPr>
      <w:r w:rsidRPr="00437630">
        <w:rPr>
          <w:rFonts w:ascii="Poppins" w:hAnsi="Poppins" w:cs="Poppins"/>
          <w:color w:val="060645"/>
        </w:rPr>
        <w:t xml:space="preserve">You must sign the hire agreement in order to participate in the cycle to work scheme. </w:t>
      </w:r>
      <w:r w:rsidR="007F5E6B" w:rsidRPr="00437630">
        <w:rPr>
          <w:rFonts w:ascii="Poppins" w:hAnsi="Poppins" w:cs="Poppins"/>
          <w:color w:val="060645"/>
        </w:rPr>
        <w:t xml:space="preserve">You will also be required to sign an Acknowledgement of Debt form (annexed to the hire agreement).  </w:t>
      </w:r>
      <w:r w:rsidRPr="00437630">
        <w:rPr>
          <w:rFonts w:ascii="Poppins" w:hAnsi="Poppins" w:cs="Poppins"/>
          <w:color w:val="060645"/>
        </w:rPr>
        <w:t xml:space="preserve">You will then receive a copy </w:t>
      </w:r>
      <w:r w:rsidR="0000673B" w:rsidRPr="00437630">
        <w:rPr>
          <w:rFonts w:ascii="Poppins" w:hAnsi="Poppins" w:cs="Poppins"/>
          <w:color w:val="060645"/>
        </w:rPr>
        <w:t xml:space="preserve">of the agreement </w:t>
      </w:r>
      <w:r w:rsidRPr="00437630">
        <w:rPr>
          <w:rFonts w:ascii="Poppins" w:hAnsi="Poppins" w:cs="Poppins"/>
          <w:color w:val="060645"/>
        </w:rPr>
        <w:t xml:space="preserve">by email. </w:t>
      </w:r>
      <w:r w:rsidR="007F5E6B" w:rsidRPr="00437630">
        <w:rPr>
          <w:rFonts w:ascii="Poppins" w:hAnsi="Poppins" w:cs="Poppins"/>
          <w:color w:val="060645"/>
        </w:rPr>
        <w:t xml:space="preserve">Further details of this can be found on the Open University’s intranet.  </w:t>
      </w:r>
      <w:r w:rsidRPr="00437630">
        <w:rPr>
          <w:rFonts w:ascii="Poppins" w:hAnsi="Poppins" w:cs="Poppins"/>
          <w:color w:val="060645"/>
        </w:rPr>
        <w:t xml:space="preserve">You can also log into your </w:t>
      </w:r>
      <w:bookmarkStart w:id="1" w:name="_Hlk55992594"/>
      <w:r w:rsidR="00581552" w:rsidRPr="00063AD3">
        <w:fldChar w:fldCharType="begin"/>
      </w:r>
      <w:r w:rsidR="00581552" w:rsidRPr="00063AD3">
        <w:rPr>
          <w:rFonts w:ascii="Poppins" w:hAnsi="Poppins" w:cs="Poppins"/>
          <w:b/>
          <w:bCs/>
          <w:color w:val="060645"/>
        </w:rPr>
        <w:instrText xml:space="preserve"> HYPERLINK "https://app.employeebenefitschoice.com/login?utm_source=knowledge-base&amp;utm_medium=web-link&amp;utm_campaign=what-is-mycyclescheme-ee" </w:instrText>
      </w:r>
      <w:r w:rsidR="00581552" w:rsidRPr="00063AD3">
        <w:fldChar w:fldCharType="separate"/>
      </w:r>
      <w:r w:rsidRPr="00063AD3">
        <w:rPr>
          <w:rStyle w:val="Hyperlink"/>
          <w:rFonts w:ascii="Poppins" w:hAnsi="Poppins" w:cs="Poppins"/>
          <w:b/>
          <w:bCs/>
          <w:color w:val="060645"/>
        </w:rPr>
        <w:t>MyCyclescheme</w:t>
      </w:r>
      <w:r w:rsidR="00581552" w:rsidRPr="00063AD3">
        <w:rPr>
          <w:rStyle w:val="Hyperlink"/>
          <w:rFonts w:ascii="Poppins" w:hAnsi="Poppins" w:cs="Poppins"/>
          <w:b/>
          <w:bCs/>
          <w:color w:val="060645"/>
        </w:rPr>
        <w:fldChar w:fldCharType="end"/>
      </w:r>
      <w:r w:rsidRPr="00437630">
        <w:rPr>
          <w:rFonts w:ascii="Poppins" w:hAnsi="Poppins" w:cs="Poppins"/>
          <w:color w:val="060645"/>
        </w:rPr>
        <w:t xml:space="preserve"> account (</w:t>
      </w:r>
      <w:r w:rsidR="007B3007" w:rsidRPr="00437630">
        <w:rPr>
          <w:rFonts w:ascii="Poppins" w:hAnsi="Poppins" w:cs="Poppins"/>
          <w:color w:val="060645"/>
        </w:rPr>
        <w:t>E</w:t>
      </w:r>
      <w:r w:rsidRPr="00437630">
        <w:rPr>
          <w:rFonts w:ascii="Poppins" w:hAnsi="Poppins" w:cs="Poppins"/>
          <w:color w:val="060645"/>
        </w:rPr>
        <w:t>mployee Benefits Choice)</w:t>
      </w:r>
      <w:r w:rsidR="006950E2" w:rsidRPr="00437630">
        <w:rPr>
          <w:rFonts w:ascii="Poppins" w:hAnsi="Poppins" w:cs="Poppins"/>
          <w:color w:val="060645"/>
        </w:rPr>
        <w:t xml:space="preserve"> for any agreement information</w:t>
      </w:r>
      <w:r w:rsidRPr="00437630">
        <w:rPr>
          <w:rFonts w:ascii="Poppins" w:hAnsi="Poppins" w:cs="Poppins"/>
          <w:color w:val="060645"/>
        </w:rPr>
        <w:t>.</w:t>
      </w:r>
      <w:bookmarkEnd w:id="1"/>
    </w:p>
    <w:p w14:paraId="67CFA6E3" w14:textId="77777777" w:rsidR="00437630" w:rsidRDefault="007D0EBC" w:rsidP="001F7D6C">
      <w:pPr>
        <w:rPr>
          <w:rFonts w:ascii="Poppins" w:hAnsi="Poppins" w:cs="Poppins"/>
          <w:color w:val="060645"/>
        </w:rPr>
      </w:pPr>
      <w:r w:rsidRPr="00437630">
        <w:rPr>
          <w:rFonts w:ascii="Poppins" w:hAnsi="Poppins" w:cs="Poppins"/>
          <w:color w:val="060645"/>
        </w:rPr>
        <w:t xml:space="preserve">By entering into the </w:t>
      </w:r>
      <w:r w:rsidR="00727344" w:rsidRPr="00437630">
        <w:rPr>
          <w:rFonts w:ascii="Poppins" w:hAnsi="Poppins" w:cs="Poppins"/>
          <w:color w:val="060645"/>
        </w:rPr>
        <w:t>agreement,</w:t>
      </w:r>
      <w:r w:rsidRPr="00437630">
        <w:rPr>
          <w:rFonts w:ascii="Poppins" w:hAnsi="Poppins" w:cs="Poppins"/>
          <w:color w:val="060645"/>
        </w:rPr>
        <w:t xml:space="preserve"> you agree to hire the </w:t>
      </w:r>
      <w:r w:rsidR="0000673B" w:rsidRPr="00437630">
        <w:rPr>
          <w:rFonts w:ascii="Poppins" w:hAnsi="Poppins" w:cs="Poppins"/>
          <w:color w:val="060645"/>
        </w:rPr>
        <w:t>bicycle/</w:t>
      </w:r>
      <w:r w:rsidRPr="00437630">
        <w:rPr>
          <w:rFonts w:ascii="Poppins" w:hAnsi="Poppins" w:cs="Poppins"/>
          <w:color w:val="060645"/>
        </w:rPr>
        <w:t xml:space="preserve">equipment from Cyclescheme for the minimum hire period (usually 12 months) from the date of the commencement of your salary sacrifice. In return for Cyclescheme agreeing to hire the </w:t>
      </w:r>
      <w:r w:rsidR="0000673B" w:rsidRPr="00437630">
        <w:rPr>
          <w:rFonts w:ascii="Poppins" w:hAnsi="Poppins" w:cs="Poppins"/>
          <w:color w:val="060645"/>
        </w:rPr>
        <w:t>bicycle/</w:t>
      </w:r>
      <w:r w:rsidRPr="00437630">
        <w:rPr>
          <w:rFonts w:ascii="Poppins" w:hAnsi="Poppins" w:cs="Poppins"/>
          <w:color w:val="060645"/>
        </w:rPr>
        <w:t>equipment to you for the hire period, you agree to make the payments detailed in your agreement.</w:t>
      </w:r>
    </w:p>
    <w:p w14:paraId="379B29CE" w14:textId="1C724BB9" w:rsidR="00147980" w:rsidRPr="00437630" w:rsidRDefault="00147980" w:rsidP="001F7D6C">
      <w:pPr>
        <w:rPr>
          <w:rFonts w:ascii="Poppins" w:hAnsi="Poppins" w:cs="Poppins"/>
          <w:b/>
          <w:bCs/>
          <w:color w:val="060645"/>
        </w:rPr>
      </w:pPr>
      <w:r w:rsidRPr="00437630">
        <w:rPr>
          <w:rFonts w:ascii="Poppins" w:hAnsi="Poppins" w:cs="Poppins"/>
          <w:b/>
          <w:bCs/>
          <w:color w:val="060645"/>
        </w:rPr>
        <w:t>4.1 During the agreement</w:t>
      </w:r>
      <w:r w:rsidR="00D5643F" w:rsidRPr="00437630">
        <w:rPr>
          <w:rFonts w:ascii="Poppins" w:hAnsi="Poppins" w:cs="Poppins"/>
          <w:b/>
          <w:bCs/>
          <w:color w:val="060645"/>
        </w:rPr>
        <w:tab/>
      </w:r>
    </w:p>
    <w:p w14:paraId="479C4BCC" w14:textId="53DF6606" w:rsidR="007D0EBC" w:rsidRPr="00437630" w:rsidRDefault="007D0EBC" w:rsidP="001F7D6C">
      <w:pPr>
        <w:rPr>
          <w:rFonts w:ascii="Poppins" w:hAnsi="Poppins" w:cs="Poppins"/>
          <w:color w:val="060645"/>
        </w:rPr>
      </w:pPr>
      <w:r w:rsidRPr="00437630">
        <w:rPr>
          <w:rFonts w:ascii="Poppins" w:hAnsi="Poppins" w:cs="Poppins"/>
          <w:color w:val="060645"/>
        </w:rPr>
        <w:t xml:space="preserve">During the hire period the </w:t>
      </w:r>
      <w:r w:rsidR="0000673B" w:rsidRPr="00437630">
        <w:rPr>
          <w:rFonts w:ascii="Poppins" w:hAnsi="Poppins" w:cs="Poppins"/>
          <w:color w:val="060645"/>
        </w:rPr>
        <w:t>bicycle/</w:t>
      </w:r>
      <w:r w:rsidRPr="00437630">
        <w:rPr>
          <w:rFonts w:ascii="Poppins" w:hAnsi="Poppins" w:cs="Poppins"/>
          <w:color w:val="060645"/>
        </w:rPr>
        <w:t xml:space="preserve">equipment remains property of </w:t>
      </w:r>
      <w:r w:rsidR="0000673B" w:rsidRPr="00437630">
        <w:rPr>
          <w:rFonts w:ascii="Poppins" w:hAnsi="Poppins" w:cs="Poppins"/>
          <w:color w:val="060645"/>
        </w:rPr>
        <w:t xml:space="preserve">the OU / </w:t>
      </w:r>
      <w:r w:rsidRPr="00437630">
        <w:rPr>
          <w:rFonts w:ascii="Poppins" w:hAnsi="Poppins" w:cs="Poppins"/>
          <w:color w:val="060645"/>
        </w:rPr>
        <w:t xml:space="preserve">Cyclescheme and you cannot profit from, transfer, sell or otherwise dispose of the </w:t>
      </w:r>
      <w:r w:rsidR="0000673B" w:rsidRPr="00437630">
        <w:rPr>
          <w:rFonts w:ascii="Poppins" w:hAnsi="Poppins" w:cs="Poppins"/>
          <w:color w:val="060645"/>
        </w:rPr>
        <w:t>bicycle/</w:t>
      </w:r>
      <w:r w:rsidRPr="00437630">
        <w:rPr>
          <w:rFonts w:ascii="Poppins" w:hAnsi="Poppins" w:cs="Poppins"/>
          <w:color w:val="060645"/>
        </w:rPr>
        <w:t xml:space="preserve">equipment. You must retain possession of the </w:t>
      </w:r>
      <w:r w:rsidR="0000673B" w:rsidRPr="00437630">
        <w:rPr>
          <w:rFonts w:ascii="Poppins" w:hAnsi="Poppins" w:cs="Poppins"/>
          <w:color w:val="060645"/>
        </w:rPr>
        <w:t>bicycle/</w:t>
      </w:r>
      <w:r w:rsidRPr="00437630">
        <w:rPr>
          <w:rFonts w:ascii="Poppins" w:hAnsi="Poppins" w:cs="Poppins"/>
          <w:color w:val="060645"/>
        </w:rPr>
        <w:t xml:space="preserve">equipment and use it mainly </w:t>
      </w:r>
      <w:r w:rsidR="0000673B" w:rsidRPr="00437630">
        <w:rPr>
          <w:rFonts w:ascii="Poppins" w:hAnsi="Poppins" w:cs="Poppins"/>
          <w:color w:val="060645"/>
        </w:rPr>
        <w:t xml:space="preserve">(50%) </w:t>
      </w:r>
      <w:r w:rsidRPr="00437630">
        <w:rPr>
          <w:rFonts w:ascii="Poppins" w:hAnsi="Poppins" w:cs="Poppins"/>
          <w:color w:val="060645"/>
        </w:rPr>
        <w:t xml:space="preserve">for commuting, although secondary purposes are permitted. Once collected from a Cyclescheme partner retailer, you are responsible for any loss of or damage to the </w:t>
      </w:r>
      <w:r w:rsidR="0000673B" w:rsidRPr="00437630">
        <w:rPr>
          <w:rFonts w:ascii="Poppins" w:hAnsi="Poppins" w:cs="Poppins"/>
          <w:color w:val="060645"/>
        </w:rPr>
        <w:t>bicycle/</w:t>
      </w:r>
      <w:r w:rsidRPr="00437630">
        <w:rPr>
          <w:rFonts w:ascii="Poppins" w:hAnsi="Poppins" w:cs="Poppins"/>
          <w:color w:val="060645"/>
        </w:rPr>
        <w:t>equipment.</w:t>
      </w:r>
    </w:p>
    <w:p w14:paraId="2DBAE2B2" w14:textId="7CC117A0" w:rsidR="007D0EBC" w:rsidRPr="00437630" w:rsidRDefault="007D0EBC" w:rsidP="001F7D6C">
      <w:pPr>
        <w:rPr>
          <w:rFonts w:ascii="Poppins" w:hAnsi="Poppins" w:cs="Poppins"/>
          <w:color w:val="060645"/>
        </w:rPr>
      </w:pPr>
      <w:r w:rsidRPr="00437630">
        <w:rPr>
          <w:rFonts w:ascii="Poppins" w:hAnsi="Poppins" w:cs="Poppins"/>
          <w:color w:val="060645"/>
        </w:rPr>
        <w:t xml:space="preserve">If you are absent from work during the hire </w:t>
      </w:r>
      <w:r w:rsidR="0000673B" w:rsidRPr="00437630">
        <w:rPr>
          <w:rFonts w:ascii="Poppins" w:hAnsi="Poppins" w:cs="Poppins"/>
          <w:color w:val="060645"/>
        </w:rPr>
        <w:t xml:space="preserve">agreement </w:t>
      </w:r>
      <w:r w:rsidRPr="00437630">
        <w:rPr>
          <w:rFonts w:ascii="Poppins" w:hAnsi="Poppins" w:cs="Poppins"/>
          <w:color w:val="060645"/>
        </w:rPr>
        <w:t xml:space="preserve">period, the payments in the hire agreement will continue to reduce any pay you receive. If you are temporarily not in receipt of sufficient salary for the salary sacrifice to continue, but you remain an employee, then by law the salary sacrifice payments set out will be suspended for a period of time and the hire period will be extended to allow payments to be made once you return to work. </w:t>
      </w:r>
    </w:p>
    <w:p w14:paraId="7C1D09F3" w14:textId="77777777" w:rsidR="00437630" w:rsidRDefault="007D0EBC" w:rsidP="001F7D6C">
      <w:pPr>
        <w:rPr>
          <w:rFonts w:ascii="Poppins" w:hAnsi="Poppins" w:cs="Poppins"/>
          <w:color w:val="060645"/>
        </w:rPr>
      </w:pPr>
      <w:r w:rsidRPr="00437630">
        <w:rPr>
          <w:rFonts w:ascii="Poppins" w:hAnsi="Poppins" w:cs="Poppins"/>
          <w:color w:val="060645"/>
        </w:rPr>
        <w:t xml:space="preserve">The hire </w:t>
      </w:r>
      <w:r w:rsidR="0045399F" w:rsidRPr="00437630">
        <w:rPr>
          <w:rFonts w:ascii="Poppins" w:hAnsi="Poppins" w:cs="Poppins"/>
          <w:color w:val="060645"/>
        </w:rPr>
        <w:t xml:space="preserve">agreement </w:t>
      </w:r>
      <w:r w:rsidRPr="00437630">
        <w:rPr>
          <w:rFonts w:ascii="Poppins" w:hAnsi="Poppins" w:cs="Poppins"/>
          <w:color w:val="060645"/>
        </w:rPr>
        <w:t xml:space="preserve">period will not be extended for more than 5 months beyond an initial 12 month hire period. If after the extension there are outstanding payments, the full balance will become payable to the employer through future net salary payments (within 14 days). </w:t>
      </w:r>
    </w:p>
    <w:p w14:paraId="65FEFA5B" w14:textId="7D85410A" w:rsidR="00147980" w:rsidRPr="00437630" w:rsidRDefault="00CD474D" w:rsidP="001F7D6C">
      <w:pPr>
        <w:rPr>
          <w:rFonts w:ascii="Poppins" w:hAnsi="Poppins" w:cs="Poppins"/>
          <w:b/>
          <w:bCs/>
          <w:color w:val="060645"/>
        </w:rPr>
      </w:pPr>
      <w:r w:rsidRPr="00437630">
        <w:rPr>
          <w:rFonts w:ascii="Poppins" w:hAnsi="Poppins" w:cs="Poppins"/>
          <w:b/>
          <w:bCs/>
          <w:color w:val="060645"/>
        </w:rPr>
        <w:t>4.2 Withdrawal from the agreement</w:t>
      </w:r>
    </w:p>
    <w:p w14:paraId="7CB44EB1" w14:textId="31A3A9DC" w:rsidR="00CD474D" w:rsidRPr="00437630" w:rsidRDefault="00CD474D" w:rsidP="001F7D6C">
      <w:pPr>
        <w:rPr>
          <w:rFonts w:ascii="Poppins" w:hAnsi="Poppins" w:cs="Poppins"/>
          <w:color w:val="060645"/>
        </w:rPr>
      </w:pPr>
      <w:r w:rsidRPr="00437630">
        <w:rPr>
          <w:rFonts w:ascii="Poppins" w:hAnsi="Poppins" w:cs="Poppins"/>
          <w:color w:val="060645"/>
        </w:rPr>
        <w:t xml:space="preserve">If </w:t>
      </w:r>
      <w:r w:rsidR="001F7D6C" w:rsidRPr="00437630">
        <w:rPr>
          <w:rFonts w:ascii="Poppins" w:hAnsi="Poppins" w:cs="Poppins"/>
          <w:color w:val="060645"/>
        </w:rPr>
        <w:t>your employment with the Open University terminates for whatever reason</w:t>
      </w:r>
      <w:r w:rsidR="00BB3DE3" w:rsidRPr="00437630">
        <w:rPr>
          <w:rFonts w:ascii="Poppins" w:hAnsi="Poppins" w:cs="Poppins"/>
          <w:color w:val="060645"/>
        </w:rPr>
        <w:t xml:space="preserve"> during the course of the hire period</w:t>
      </w:r>
      <w:r w:rsidRPr="00437630">
        <w:rPr>
          <w:rFonts w:ascii="Poppins" w:hAnsi="Poppins" w:cs="Poppins"/>
          <w:color w:val="060645"/>
        </w:rPr>
        <w:t xml:space="preserve">, the </w:t>
      </w:r>
      <w:r w:rsidR="0045399F" w:rsidRPr="00437630">
        <w:rPr>
          <w:rFonts w:ascii="Poppins" w:hAnsi="Poppins" w:cs="Poppins"/>
          <w:color w:val="060645"/>
        </w:rPr>
        <w:t xml:space="preserve">hire </w:t>
      </w:r>
      <w:r w:rsidRPr="00437630">
        <w:rPr>
          <w:rFonts w:ascii="Poppins" w:hAnsi="Poppins" w:cs="Poppins"/>
          <w:color w:val="060645"/>
        </w:rPr>
        <w:t xml:space="preserve">agreement will be terminated in accordance with </w:t>
      </w:r>
      <w:r w:rsidR="00727344" w:rsidRPr="00437630">
        <w:rPr>
          <w:rFonts w:ascii="Poppins" w:hAnsi="Poppins" w:cs="Poppins"/>
          <w:color w:val="060645"/>
        </w:rPr>
        <w:t>the a</w:t>
      </w:r>
      <w:r w:rsidRPr="00437630">
        <w:rPr>
          <w:rFonts w:ascii="Poppins" w:hAnsi="Poppins" w:cs="Poppins"/>
          <w:color w:val="060645"/>
        </w:rPr>
        <w:t xml:space="preserve">greement and the tax exemption available under the ‘Cycle to work’ scheme will no longer be available. </w:t>
      </w:r>
    </w:p>
    <w:p w14:paraId="1C6865D2" w14:textId="1EE86B6D" w:rsidR="00CD474D" w:rsidRPr="00437630" w:rsidRDefault="00CD474D" w:rsidP="001F7D6C">
      <w:pPr>
        <w:rPr>
          <w:rFonts w:ascii="Poppins" w:hAnsi="Poppins" w:cs="Poppins"/>
          <w:color w:val="060645"/>
        </w:rPr>
      </w:pPr>
      <w:r w:rsidRPr="00437630">
        <w:rPr>
          <w:rFonts w:ascii="Poppins" w:hAnsi="Poppins" w:cs="Poppins"/>
          <w:color w:val="060645"/>
        </w:rPr>
        <w:lastRenderedPageBreak/>
        <w:t xml:space="preserve">You will be required to pay the total outstanding payments due for the remainder of the hire </w:t>
      </w:r>
      <w:r w:rsidR="0045399F" w:rsidRPr="00437630">
        <w:rPr>
          <w:rFonts w:ascii="Poppins" w:hAnsi="Poppins" w:cs="Poppins"/>
          <w:color w:val="060645"/>
        </w:rPr>
        <w:t xml:space="preserve">agreement </w:t>
      </w:r>
      <w:r w:rsidRPr="00437630">
        <w:rPr>
          <w:rFonts w:ascii="Poppins" w:hAnsi="Poppins" w:cs="Poppins"/>
          <w:color w:val="060645"/>
        </w:rPr>
        <w:t xml:space="preserve">period. The outstanding balance payable will not benefit from any tax exemption and will be collected by the employer from any remaining net salary payments and any other sums payable to you by the employer. </w:t>
      </w:r>
    </w:p>
    <w:p w14:paraId="611DF276" w14:textId="0113B015" w:rsidR="00CD474D" w:rsidRPr="00437630" w:rsidRDefault="00CD474D" w:rsidP="001F7D6C">
      <w:pPr>
        <w:rPr>
          <w:rFonts w:ascii="Poppins" w:hAnsi="Poppins" w:cs="Poppins"/>
          <w:color w:val="060645"/>
        </w:rPr>
      </w:pPr>
      <w:r w:rsidRPr="00437630">
        <w:rPr>
          <w:rFonts w:ascii="Poppins" w:hAnsi="Poppins" w:cs="Poppins"/>
          <w:color w:val="060645"/>
        </w:rPr>
        <w:t xml:space="preserve">If this is not possible for any reason, or if the total outstanding balance of payments due exceeds any remaining net salary payments, you agree to promptly pay an amount equal to the total outstanding payments due, within 14 days of your employment end date. </w:t>
      </w:r>
    </w:p>
    <w:p w14:paraId="074B5E59" w14:textId="1812ADE8" w:rsidR="007D0EBC" w:rsidRPr="00437630" w:rsidRDefault="007D0EBC" w:rsidP="001F7D6C">
      <w:pPr>
        <w:rPr>
          <w:rFonts w:ascii="Poppins" w:hAnsi="Poppins" w:cs="Poppins"/>
          <w:b/>
          <w:bCs/>
          <w:color w:val="060645"/>
        </w:rPr>
      </w:pPr>
      <w:r w:rsidRPr="00437630">
        <w:rPr>
          <w:rFonts w:ascii="Poppins" w:hAnsi="Poppins" w:cs="Poppins"/>
          <w:b/>
          <w:bCs/>
          <w:color w:val="060645"/>
        </w:rPr>
        <w:t>4.3 Cancellation of agreement</w:t>
      </w:r>
    </w:p>
    <w:p w14:paraId="65478ABC" w14:textId="534BDD20" w:rsidR="007D0EBC" w:rsidRPr="00437630" w:rsidRDefault="007D0EBC" w:rsidP="001F7D6C">
      <w:pPr>
        <w:rPr>
          <w:rFonts w:ascii="Poppins" w:hAnsi="Poppins" w:cs="Poppins"/>
          <w:color w:val="060645"/>
        </w:rPr>
      </w:pPr>
      <w:r w:rsidRPr="00437630">
        <w:rPr>
          <w:rFonts w:ascii="Poppins" w:hAnsi="Poppins" w:cs="Poppins"/>
          <w:color w:val="060645"/>
        </w:rPr>
        <w:t xml:space="preserve">You have the right to cancel the </w:t>
      </w:r>
      <w:r w:rsidR="0045399F" w:rsidRPr="00437630">
        <w:rPr>
          <w:rFonts w:ascii="Poppins" w:hAnsi="Poppins" w:cs="Poppins"/>
          <w:color w:val="060645"/>
        </w:rPr>
        <w:t xml:space="preserve">hire </w:t>
      </w:r>
      <w:r w:rsidRPr="00437630">
        <w:rPr>
          <w:rFonts w:ascii="Poppins" w:hAnsi="Poppins" w:cs="Poppins"/>
          <w:color w:val="060645"/>
        </w:rPr>
        <w:t xml:space="preserve">agreement </w:t>
      </w:r>
      <w:r w:rsidR="00DB4873" w:rsidRPr="00437630">
        <w:rPr>
          <w:rFonts w:ascii="Poppins" w:hAnsi="Poppins" w:cs="Poppins"/>
          <w:color w:val="060645"/>
        </w:rPr>
        <w:t xml:space="preserve">from the later of 14 days from the date you receive an email containing a link to the fully approved agreement. You can cancel this agreement by giving written notice to Cyclescheme by logging into your </w:t>
      </w:r>
      <w:hyperlink r:id="rId17" w:history="1">
        <w:r w:rsidR="00F9358E" w:rsidRPr="00063AD3">
          <w:rPr>
            <w:rStyle w:val="Hyperlink"/>
            <w:rFonts w:ascii="Poppins" w:hAnsi="Poppins" w:cs="Poppins"/>
            <w:b/>
            <w:bCs/>
            <w:color w:val="060645"/>
          </w:rPr>
          <w:t>MyCyclescheme</w:t>
        </w:r>
      </w:hyperlink>
      <w:r w:rsidR="00F9358E" w:rsidRPr="00437630">
        <w:rPr>
          <w:rFonts w:ascii="Poppins" w:hAnsi="Poppins" w:cs="Poppins"/>
          <w:color w:val="060645"/>
        </w:rPr>
        <w:t xml:space="preserve"> account (Employee Benefits Choice), </w:t>
      </w:r>
      <w:r w:rsidR="00DB4873" w:rsidRPr="00437630">
        <w:rPr>
          <w:rFonts w:ascii="Poppins" w:hAnsi="Poppins" w:cs="Poppins"/>
          <w:color w:val="060645"/>
        </w:rPr>
        <w:t xml:space="preserve">clicking on ‘Cancel my Certificate’. </w:t>
      </w:r>
    </w:p>
    <w:p w14:paraId="73520734" w14:textId="70DF7B3E" w:rsidR="00DB4873" w:rsidRPr="00437630" w:rsidRDefault="00DB4873" w:rsidP="001F7D6C">
      <w:pPr>
        <w:rPr>
          <w:rFonts w:ascii="Poppins" w:hAnsi="Poppins" w:cs="Poppins"/>
          <w:color w:val="060645"/>
        </w:rPr>
      </w:pPr>
      <w:r w:rsidRPr="00437630">
        <w:rPr>
          <w:rFonts w:ascii="Poppins" w:hAnsi="Poppins" w:cs="Poppins"/>
          <w:color w:val="060645"/>
        </w:rPr>
        <w:t xml:space="preserve">If you have not redeemed the certificate when you cancel the agreement, you must delete the email containing your certificate and </w:t>
      </w:r>
      <w:r w:rsidR="0045399F" w:rsidRPr="00437630">
        <w:rPr>
          <w:rFonts w:ascii="Poppins" w:hAnsi="Poppins" w:cs="Poppins"/>
          <w:color w:val="060645"/>
        </w:rPr>
        <w:t xml:space="preserve">any </w:t>
      </w:r>
      <w:r w:rsidRPr="00437630">
        <w:rPr>
          <w:rFonts w:ascii="Poppins" w:hAnsi="Poppins" w:cs="Poppins"/>
          <w:color w:val="060645"/>
        </w:rPr>
        <w:t xml:space="preserve">copies made. The </w:t>
      </w:r>
      <w:r w:rsidR="006A1883" w:rsidRPr="00437630">
        <w:rPr>
          <w:rFonts w:ascii="Poppins" w:hAnsi="Poppins" w:cs="Poppins"/>
          <w:color w:val="060645"/>
        </w:rPr>
        <w:t xml:space="preserve">Open University </w:t>
      </w:r>
      <w:r w:rsidRPr="00437630">
        <w:rPr>
          <w:rFonts w:ascii="Poppins" w:hAnsi="Poppins" w:cs="Poppins"/>
          <w:color w:val="060645"/>
        </w:rPr>
        <w:t xml:space="preserve">will ensure </w:t>
      </w:r>
      <w:r w:rsidR="0045399F" w:rsidRPr="00437630">
        <w:rPr>
          <w:rFonts w:ascii="Poppins" w:hAnsi="Poppins" w:cs="Poppins"/>
          <w:color w:val="060645"/>
        </w:rPr>
        <w:t>th</w:t>
      </w:r>
      <w:r w:rsidR="006A1883" w:rsidRPr="00437630">
        <w:rPr>
          <w:rFonts w:ascii="Poppins" w:hAnsi="Poppins" w:cs="Poppins"/>
          <w:color w:val="060645"/>
        </w:rPr>
        <w:t xml:space="preserve">at </w:t>
      </w:r>
      <w:r w:rsidR="00434559" w:rsidRPr="00437630">
        <w:rPr>
          <w:rFonts w:ascii="Poppins" w:hAnsi="Poppins" w:cs="Poppins"/>
          <w:color w:val="060645"/>
        </w:rPr>
        <w:t>any salary</w:t>
      </w:r>
      <w:r w:rsidRPr="00437630">
        <w:rPr>
          <w:rFonts w:ascii="Poppins" w:hAnsi="Poppins" w:cs="Poppins"/>
          <w:color w:val="060645"/>
        </w:rPr>
        <w:t xml:space="preserve"> sacrifice </w:t>
      </w:r>
      <w:r w:rsidR="0045399F" w:rsidRPr="00437630">
        <w:rPr>
          <w:rFonts w:ascii="Poppins" w:hAnsi="Poppins" w:cs="Poppins"/>
          <w:color w:val="060645"/>
        </w:rPr>
        <w:t xml:space="preserve">deduction </w:t>
      </w:r>
      <w:r w:rsidRPr="00437630">
        <w:rPr>
          <w:rFonts w:ascii="Poppins" w:hAnsi="Poppins" w:cs="Poppins"/>
          <w:color w:val="060645"/>
        </w:rPr>
        <w:t xml:space="preserve">is cancelled and no </w:t>
      </w:r>
      <w:r w:rsidR="00B75F8F" w:rsidRPr="00437630">
        <w:rPr>
          <w:rFonts w:ascii="Poppins" w:hAnsi="Poppins" w:cs="Poppins"/>
          <w:color w:val="060645"/>
        </w:rPr>
        <w:t xml:space="preserve">further </w:t>
      </w:r>
      <w:r w:rsidRPr="00437630">
        <w:rPr>
          <w:rFonts w:ascii="Poppins" w:hAnsi="Poppins" w:cs="Poppins"/>
          <w:color w:val="060645"/>
        </w:rPr>
        <w:t xml:space="preserve">payments </w:t>
      </w:r>
      <w:r w:rsidR="00B75F8F" w:rsidRPr="00437630">
        <w:rPr>
          <w:rFonts w:ascii="Poppins" w:hAnsi="Poppins" w:cs="Poppins"/>
          <w:color w:val="060645"/>
        </w:rPr>
        <w:t xml:space="preserve">will </w:t>
      </w:r>
      <w:r w:rsidRPr="00437630">
        <w:rPr>
          <w:rFonts w:ascii="Poppins" w:hAnsi="Poppins" w:cs="Poppins"/>
          <w:color w:val="060645"/>
        </w:rPr>
        <w:t>be taken out of your salary.</w:t>
      </w:r>
    </w:p>
    <w:p w14:paraId="314EA8D9" w14:textId="09D77B9A" w:rsidR="00DB4873" w:rsidRPr="00437630" w:rsidRDefault="00DB4873" w:rsidP="001F7D6C">
      <w:pPr>
        <w:rPr>
          <w:rFonts w:ascii="Poppins" w:hAnsi="Poppins" w:cs="Poppins"/>
          <w:color w:val="060645"/>
        </w:rPr>
      </w:pPr>
      <w:r w:rsidRPr="00437630">
        <w:rPr>
          <w:rFonts w:ascii="Poppins" w:hAnsi="Poppins" w:cs="Poppins"/>
          <w:color w:val="060645"/>
        </w:rPr>
        <w:t xml:space="preserve">If you have redeemed the certificate and collected or received the </w:t>
      </w:r>
      <w:r w:rsidR="0045399F" w:rsidRPr="00437630">
        <w:rPr>
          <w:rFonts w:ascii="Poppins" w:hAnsi="Poppins" w:cs="Poppins"/>
          <w:color w:val="060645"/>
        </w:rPr>
        <w:t>bicycle/</w:t>
      </w:r>
      <w:r w:rsidRPr="00437630">
        <w:rPr>
          <w:rFonts w:ascii="Poppins" w:hAnsi="Poppins" w:cs="Poppins"/>
          <w:color w:val="060645"/>
        </w:rPr>
        <w:t xml:space="preserve">equipment, you must not use the equipment and must keep it safe (Legal action may be taken against you if you </w:t>
      </w:r>
      <w:r w:rsidR="0045399F" w:rsidRPr="00437630">
        <w:rPr>
          <w:rFonts w:ascii="Poppins" w:hAnsi="Poppins" w:cs="Poppins"/>
          <w:color w:val="060645"/>
        </w:rPr>
        <w:t xml:space="preserve">do </w:t>
      </w:r>
      <w:r w:rsidRPr="00437630">
        <w:rPr>
          <w:rFonts w:ascii="Poppins" w:hAnsi="Poppins" w:cs="Poppins"/>
          <w:color w:val="060645"/>
        </w:rPr>
        <w:t xml:space="preserve">not take proper care of the </w:t>
      </w:r>
      <w:r w:rsidR="0045399F" w:rsidRPr="00437630">
        <w:rPr>
          <w:rFonts w:ascii="Poppins" w:hAnsi="Poppins" w:cs="Poppins"/>
          <w:color w:val="060645"/>
        </w:rPr>
        <w:t>bicycle/</w:t>
      </w:r>
      <w:r w:rsidRPr="00437630">
        <w:rPr>
          <w:rFonts w:ascii="Poppins" w:hAnsi="Poppins" w:cs="Poppins"/>
          <w:color w:val="060645"/>
        </w:rPr>
        <w:t xml:space="preserve">equipment). You will be required to return the </w:t>
      </w:r>
      <w:r w:rsidR="0045399F" w:rsidRPr="00437630">
        <w:rPr>
          <w:rFonts w:ascii="Poppins" w:hAnsi="Poppins" w:cs="Poppins"/>
          <w:color w:val="060645"/>
        </w:rPr>
        <w:t>bicycle/</w:t>
      </w:r>
      <w:r w:rsidRPr="00437630">
        <w:rPr>
          <w:rFonts w:ascii="Poppins" w:hAnsi="Poppins" w:cs="Poppins"/>
          <w:color w:val="060645"/>
        </w:rPr>
        <w:t>equipment to the Cyclescheme partner retailer in saleable condition</w:t>
      </w:r>
      <w:r w:rsidR="0045399F" w:rsidRPr="00437630">
        <w:rPr>
          <w:rFonts w:ascii="Poppins" w:hAnsi="Poppins" w:cs="Poppins"/>
          <w:color w:val="060645"/>
        </w:rPr>
        <w:t>,</w:t>
      </w:r>
      <w:r w:rsidRPr="00437630">
        <w:rPr>
          <w:rFonts w:ascii="Poppins" w:hAnsi="Poppins" w:cs="Poppins"/>
          <w:color w:val="060645"/>
        </w:rPr>
        <w:t xml:space="preserve"> you will be charged any costs incurred for return and/or collection of the equipment. </w:t>
      </w:r>
    </w:p>
    <w:p w14:paraId="5026A287" w14:textId="1952C7EF" w:rsidR="00147980" w:rsidRPr="00437630" w:rsidRDefault="00147980" w:rsidP="001F7D6C">
      <w:pPr>
        <w:rPr>
          <w:rFonts w:ascii="Poppins" w:hAnsi="Poppins" w:cs="Poppins"/>
          <w:b/>
          <w:bCs/>
          <w:color w:val="060645"/>
        </w:rPr>
      </w:pPr>
      <w:r w:rsidRPr="00437630">
        <w:rPr>
          <w:rFonts w:ascii="Poppins" w:hAnsi="Poppins" w:cs="Poppins"/>
          <w:b/>
          <w:bCs/>
          <w:color w:val="060645"/>
        </w:rPr>
        <w:t>4.</w:t>
      </w:r>
      <w:r w:rsidR="007D0EBC" w:rsidRPr="00437630">
        <w:rPr>
          <w:rFonts w:ascii="Poppins" w:hAnsi="Poppins" w:cs="Poppins"/>
          <w:b/>
          <w:bCs/>
          <w:color w:val="060645"/>
        </w:rPr>
        <w:t>4</w:t>
      </w:r>
      <w:r w:rsidRPr="00437630">
        <w:rPr>
          <w:rFonts w:ascii="Poppins" w:hAnsi="Poppins" w:cs="Poppins"/>
          <w:b/>
          <w:bCs/>
          <w:color w:val="060645"/>
        </w:rPr>
        <w:t xml:space="preserve"> End of the agreement</w:t>
      </w:r>
    </w:p>
    <w:p w14:paraId="3DA12C37" w14:textId="0D5F7283" w:rsidR="00147980" w:rsidRPr="00437630" w:rsidRDefault="00147980" w:rsidP="001F7D6C">
      <w:pPr>
        <w:rPr>
          <w:rFonts w:ascii="Poppins" w:hAnsi="Poppins" w:cs="Poppins"/>
          <w:color w:val="060645"/>
        </w:rPr>
      </w:pPr>
      <w:bookmarkStart w:id="2" w:name="_Hlk54874360"/>
      <w:r w:rsidRPr="00437630">
        <w:rPr>
          <w:rFonts w:ascii="Poppins" w:hAnsi="Poppins" w:cs="Poppins"/>
          <w:color w:val="060645"/>
        </w:rPr>
        <w:t xml:space="preserve">At the end of the hire agreement, Cyclescheme will contact you and ask if you would like to keep the package and become the legal owner. </w:t>
      </w:r>
      <w:r w:rsidR="0045399F" w:rsidRPr="00437630">
        <w:rPr>
          <w:rFonts w:ascii="Poppins" w:hAnsi="Poppins" w:cs="Poppins"/>
          <w:color w:val="060645"/>
        </w:rPr>
        <w:t>Y</w:t>
      </w:r>
      <w:r w:rsidRPr="00437630">
        <w:rPr>
          <w:rFonts w:ascii="Poppins" w:hAnsi="Poppins" w:cs="Poppins"/>
          <w:color w:val="060645"/>
        </w:rPr>
        <w:t>our options at this stage</w:t>
      </w:r>
      <w:r w:rsidR="0045399F" w:rsidRPr="00437630">
        <w:rPr>
          <w:rFonts w:ascii="Poppins" w:hAnsi="Poppins" w:cs="Poppins"/>
          <w:color w:val="060645"/>
        </w:rPr>
        <w:t xml:space="preserve"> are:</w:t>
      </w:r>
    </w:p>
    <w:p w14:paraId="21B8CFA0" w14:textId="4E82FDCE" w:rsidR="006A1883" w:rsidRPr="00437630" w:rsidRDefault="006A1883" w:rsidP="006A1883">
      <w:pPr>
        <w:pStyle w:val="ListParagraph"/>
        <w:numPr>
          <w:ilvl w:val="0"/>
          <w:numId w:val="29"/>
        </w:numPr>
        <w:rPr>
          <w:rFonts w:ascii="Poppins" w:hAnsi="Poppins" w:cs="Poppins"/>
          <w:color w:val="060645"/>
        </w:rPr>
      </w:pPr>
      <w:r w:rsidRPr="00437630">
        <w:rPr>
          <w:rFonts w:ascii="Poppins" w:hAnsi="Poppins" w:cs="Poppins"/>
          <w:color w:val="060645"/>
        </w:rPr>
        <w:t xml:space="preserve">Extend the hire agreement; </w:t>
      </w:r>
    </w:p>
    <w:p w14:paraId="124FB1DD" w14:textId="5A00D045" w:rsidR="006A1883" w:rsidRPr="00437630" w:rsidRDefault="006A1883" w:rsidP="006A1883">
      <w:pPr>
        <w:pStyle w:val="ListParagraph"/>
        <w:numPr>
          <w:ilvl w:val="0"/>
          <w:numId w:val="29"/>
        </w:numPr>
        <w:rPr>
          <w:rFonts w:ascii="Poppins" w:hAnsi="Poppins" w:cs="Poppins"/>
          <w:color w:val="060645"/>
        </w:rPr>
      </w:pPr>
      <w:r w:rsidRPr="00437630">
        <w:rPr>
          <w:rFonts w:ascii="Poppins" w:hAnsi="Poppins" w:cs="Poppins"/>
          <w:color w:val="060645"/>
        </w:rPr>
        <w:t xml:space="preserve">Return the cycle and equipment; </w:t>
      </w:r>
    </w:p>
    <w:p w14:paraId="279A217E" w14:textId="6F769ADA" w:rsidR="006A1883" w:rsidRPr="00437630" w:rsidRDefault="006A1883" w:rsidP="006A1883">
      <w:pPr>
        <w:pStyle w:val="ListParagraph"/>
        <w:numPr>
          <w:ilvl w:val="0"/>
          <w:numId w:val="29"/>
        </w:numPr>
        <w:rPr>
          <w:rFonts w:ascii="Poppins" w:hAnsi="Poppins" w:cs="Poppins"/>
          <w:color w:val="060645"/>
        </w:rPr>
      </w:pPr>
      <w:r w:rsidRPr="00437630">
        <w:rPr>
          <w:rFonts w:ascii="Poppins" w:hAnsi="Poppins" w:cs="Poppins"/>
          <w:color w:val="060645"/>
        </w:rPr>
        <w:t xml:space="preserve">Buy the cycle and equipment under a separate agreement entered </w:t>
      </w:r>
      <w:r w:rsidR="007F5E6B" w:rsidRPr="00437630">
        <w:rPr>
          <w:rFonts w:ascii="Poppins" w:hAnsi="Poppins" w:cs="Poppins"/>
          <w:color w:val="060645"/>
        </w:rPr>
        <w:t>into</w:t>
      </w:r>
      <w:r w:rsidRPr="00437630">
        <w:rPr>
          <w:rFonts w:ascii="Poppins" w:hAnsi="Poppins" w:cs="Poppins"/>
          <w:color w:val="060645"/>
        </w:rPr>
        <w:t xml:space="preserve"> the time. </w:t>
      </w:r>
    </w:p>
    <w:bookmarkEnd w:id="2"/>
    <w:p w14:paraId="36387AEA" w14:textId="1C57087C" w:rsidR="000139DB" w:rsidRPr="00437630" w:rsidRDefault="000139DB" w:rsidP="001F7D6C">
      <w:pPr>
        <w:rPr>
          <w:rFonts w:ascii="Poppins" w:hAnsi="Poppins" w:cs="Poppins"/>
          <w:color w:val="060645"/>
        </w:rPr>
      </w:pPr>
      <w:r w:rsidRPr="00437630">
        <w:rPr>
          <w:rFonts w:ascii="Poppins" w:hAnsi="Poppins" w:cs="Poppins"/>
          <w:color w:val="060645"/>
        </w:rPr>
        <w:lastRenderedPageBreak/>
        <w:t xml:space="preserve">If you decide to purchase the </w:t>
      </w:r>
      <w:r w:rsidR="0045399F" w:rsidRPr="00437630">
        <w:rPr>
          <w:rFonts w:ascii="Poppins" w:hAnsi="Poppins" w:cs="Poppins"/>
          <w:color w:val="060645"/>
        </w:rPr>
        <w:t>bicycle/</w:t>
      </w:r>
      <w:r w:rsidRPr="00437630">
        <w:rPr>
          <w:rFonts w:ascii="Poppins" w:hAnsi="Poppins" w:cs="Poppins"/>
          <w:color w:val="060645"/>
        </w:rPr>
        <w:t>equipment under a separate agreement following the expiry of the hire agreement,</w:t>
      </w:r>
      <w:r w:rsidR="00434559" w:rsidRPr="00437630">
        <w:rPr>
          <w:rFonts w:ascii="Poppins" w:hAnsi="Poppins" w:cs="Poppins"/>
          <w:color w:val="060645"/>
        </w:rPr>
        <w:t xml:space="preserve"> there must</w:t>
      </w:r>
      <w:r w:rsidRPr="00437630">
        <w:rPr>
          <w:rFonts w:ascii="Poppins" w:hAnsi="Poppins" w:cs="Poppins"/>
          <w:color w:val="060645"/>
        </w:rPr>
        <w:t xml:space="preserve"> be a valu</w:t>
      </w:r>
      <w:r w:rsidR="00434559" w:rsidRPr="00437630">
        <w:rPr>
          <w:rFonts w:ascii="Poppins" w:hAnsi="Poppins" w:cs="Poppins"/>
          <w:color w:val="060645"/>
        </w:rPr>
        <w:t>ation</w:t>
      </w:r>
      <w:r w:rsidRPr="00437630">
        <w:rPr>
          <w:rFonts w:ascii="Poppins" w:hAnsi="Poppins" w:cs="Poppins"/>
          <w:color w:val="060645"/>
        </w:rPr>
        <w:t xml:space="preserve"> </w:t>
      </w:r>
      <w:r w:rsidR="003F19E9" w:rsidRPr="00437630">
        <w:rPr>
          <w:rFonts w:ascii="Poppins" w:hAnsi="Poppins" w:cs="Poppins"/>
          <w:color w:val="060645"/>
        </w:rPr>
        <w:t>for</w:t>
      </w:r>
      <w:r w:rsidRPr="00437630">
        <w:rPr>
          <w:rFonts w:ascii="Poppins" w:hAnsi="Poppins" w:cs="Poppins"/>
          <w:color w:val="060645"/>
        </w:rPr>
        <w:t xml:space="preserve"> the </w:t>
      </w:r>
      <w:r w:rsidR="003F19E9" w:rsidRPr="00437630">
        <w:rPr>
          <w:rFonts w:ascii="Poppins" w:hAnsi="Poppins" w:cs="Poppins"/>
          <w:color w:val="060645"/>
        </w:rPr>
        <w:t>bicycle/</w:t>
      </w:r>
      <w:r w:rsidRPr="00437630">
        <w:rPr>
          <w:rFonts w:ascii="Poppins" w:hAnsi="Poppins" w:cs="Poppins"/>
          <w:color w:val="060645"/>
        </w:rPr>
        <w:t>equipment for tax purposes. HMRC have published the following ‘Valuation Table’ to be used to calculate the market value of the bi</w:t>
      </w:r>
      <w:r w:rsidR="003F19E9" w:rsidRPr="00437630">
        <w:rPr>
          <w:rFonts w:ascii="Poppins" w:hAnsi="Poppins" w:cs="Poppins"/>
          <w:color w:val="060645"/>
        </w:rPr>
        <w:t>cycle</w:t>
      </w:r>
      <w:r w:rsidRPr="00437630">
        <w:rPr>
          <w:rFonts w:ascii="Poppins" w:hAnsi="Poppins" w:cs="Poppins"/>
          <w:color w:val="060645"/>
        </w:rPr>
        <w:t xml:space="preserve"> and equipment.</w:t>
      </w:r>
    </w:p>
    <w:tbl>
      <w:tblPr>
        <w:tblStyle w:val="TableGrid"/>
        <w:tblW w:w="8800" w:type="dxa"/>
        <w:tblInd w:w="279" w:type="dxa"/>
        <w:tblLook w:val="04A0" w:firstRow="1" w:lastRow="0" w:firstColumn="1" w:lastColumn="0" w:noHBand="0" w:noVBand="1"/>
      </w:tblPr>
      <w:tblGrid>
        <w:gridCol w:w="3130"/>
        <w:gridCol w:w="2835"/>
        <w:gridCol w:w="2835"/>
      </w:tblGrid>
      <w:tr w:rsidR="00437630" w:rsidRPr="00437630" w14:paraId="7C7FF2F6" w14:textId="77777777" w:rsidTr="00437630">
        <w:tc>
          <w:tcPr>
            <w:tcW w:w="3130" w:type="dxa"/>
            <w:vAlign w:val="center"/>
          </w:tcPr>
          <w:p w14:paraId="1EF12E8C" w14:textId="69290724" w:rsidR="000139DB" w:rsidRPr="00437630" w:rsidRDefault="000139DB" w:rsidP="000139DB">
            <w:pPr>
              <w:jc w:val="center"/>
              <w:rPr>
                <w:rFonts w:ascii="Poppins" w:hAnsi="Poppins" w:cs="Poppins"/>
                <w:color w:val="060645"/>
              </w:rPr>
            </w:pPr>
            <w:r w:rsidRPr="00437630">
              <w:rPr>
                <w:rFonts w:ascii="Poppins" w:hAnsi="Poppins" w:cs="Poppins"/>
                <w:color w:val="060645"/>
              </w:rPr>
              <w:t>Age of bike</w:t>
            </w:r>
          </w:p>
        </w:tc>
        <w:tc>
          <w:tcPr>
            <w:tcW w:w="2835" w:type="dxa"/>
            <w:vAlign w:val="center"/>
          </w:tcPr>
          <w:p w14:paraId="044DB73D" w14:textId="77777777" w:rsidR="000139DB" w:rsidRPr="00437630" w:rsidRDefault="000139DB" w:rsidP="000139DB">
            <w:pPr>
              <w:jc w:val="center"/>
              <w:rPr>
                <w:rFonts w:ascii="Poppins" w:hAnsi="Poppins" w:cs="Poppins"/>
                <w:color w:val="060645"/>
              </w:rPr>
            </w:pPr>
            <w:r w:rsidRPr="00437630">
              <w:rPr>
                <w:rFonts w:ascii="Poppins" w:hAnsi="Poppins" w:cs="Poppins"/>
                <w:color w:val="060645"/>
              </w:rPr>
              <w:t>Acceptable disposal value as a percentage of original price (including VAT)</w:t>
            </w:r>
          </w:p>
          <w:p w14:paraId="7ACD60FF" w14:textId="77777777" w:rsidR="000139DB" w:rsidRPr="00437630" w:rsidRDefault="000139DB" w:rsidP="000139DB">
            <w:pPr>
              <w:jc w:val="center"/>
              <w:rPr>
                <w:rFonts w:ascii="Poppins" w:hAnsi="Poppins" w:cs="Poppins"/>
                <w:color w:val="060645"/>
              </w:rPr>
            </w:pPr>
          </w:p>
          <w:p w14:paraId="2593696F" w14:textId="08F20B47" w:rsidR="000139DB" w:rsidRPr="00437630" w:rsidRDefault="000139DB" w:rsidP="000139DB">
            <w:pPr>
              <w:jc w:val="center"/>
              <w:rPr>
                <w:rFonts w:ascii="Poppins" w:hAnsi="Poppins" w:cs="Poppins"/>
                <w:color w:val="060645"/>
              </w:rPr>
            </w:pPr>
            <w:r w:rsidRPr="00437630">
              <w:rPr>
                <w:rFonts w:ascii="Poppins" w:hAnsi="Poppins" w:cs="Poppins"/>
                <w:color w:val="060645"/>
              </w:rPr>
              <w:t>Original price less than £500</w:t>
            </w:r>
          </w:p>
        </w:tc>
        <w:tc>
          <w:tcPr>
            <w:tcW w:w="2835" w:type="dxa"/>
            <w:vAlign w:val="center"/>
          </w:tcPr>
          <w:p w14:paraId="4F45603F" w14:textId="77777777" w:rsidR="000139DB" w:rsidRPr="00437630" w:rsidRDefault="000139DB" w:rsidP="000139DB">
            <w:pPr>
              <w:jc w:val="center"/>
              <w:rPr>
                <w:rFonts w:ascii="Poppins" w:hAnsi="Poppins" w:cs="Poppins"/>
                <w:color w:val="060645"/>
              </w:rPr>
            </w:pPr>
            <w:r w:rsidRPr="00437630">
              <w:rPr>
                <w:rFonts w:ascii="Poppins" w:hAnsi="Poppins" w:cs="Poppins"/>
                <w:color w:val="060645"/>
              </w:rPr>
              <w:t>Acceptable disposal value as a percentage of original price (including VAT)</w:t>
            </w:r>
          </w:p>
          <w:p w14:paraId="5573A04E" w14:textId="77777777" w:rsidR="000139DB" w:rsidRPr="00437630" w:rsidRDefault="000139DB" w:rsidP="000139DB">
            <w:pPr>
              <w:jc w:val="center"/>
              <w:rPr>
                <w:rFonts w:ascii="Poppins" w:hAnsi="Poppins" w:cs="Poppins"/>
                <w:color w:val="060645"/>
              </w:rPr>
            </w:pPr>
          </w:p>
          <w:p w14:paraId="2340801F" w14:textId="0465F22D" w:rsidR="000139DB" w:rsidRPr="00437630" w:rsidRDefault="000139DB" w:rsidP="000139DB">
            <w:pPr>
              <w:jc w:val="center"/>
              <w:rPr>
                <w:rFonts w:ascii="Poppins" w:hAnsi="Poppins" w:cs="Poppins"/>
                <w:color w:val="060645"/>
              </w:rPr>
            </w:pPr>
            <w:r w:rsidRPr="00437630">
              <w:rPr>
                <w:rFonts w:ascii="Poppins" w:hAnsi="Poppins" w:cs="Poppins"/>
                <w:color w:val="060645"/>
              </w:rPr>
              <w:t>Original price over £500</w:t>
            </w:r>
          </w:p>
        </w:tc>
      </w:tr>
      <w:tr w:rsidR="00437630" w:rsidRPr="00437630" w14:paraId="72EEBF25" w14:textId="77777777" w:rsidTr="00437630">
        <w:tc>
          <w:tcPr>
            <w:tcW w:w="3130" w:type="dxa"/>
          </w:tcPr>
          <w:p w14:paraId="5398AF11" w14:textId="30A288F4" w:rsidR="000139DB" w:rsidRPr="00437630" w:rsidRDefault="000139DB" w:rsidP="000139DB">
            <w:pPr>
              <w:jc w:val="center"/>
              <w:rPr>
                <w:rFonts w:ascii="Poppins" w:hAnsi="Poppins" w:cs="Poppins"/>
                <w:color w:val="060645"/>
              </w:rPr>
            </w:pPr>
            <w:r w:rsidRPr="00437630">
              <w:rPr>
                <w:rFonts w:ascii="Poppins" w:hAnsi="Poppins" w:cs="Poppins"/>
                <w:color w:val="060645"/>
              </w:rPr>
              <w:t>1 year</w:t>
            </w:r>
          </w:p>
        </w:tc>
        <w:tc>
          <w:tcPr>
            <w:tcW w:w="2835" w:type="dxa"/>
          </w:tcPr>
          <w:p w14:paraId="23810801" w14:textId="4730D9E3" w:rsidR="000139DB" w:rsidRPr="00437630" w:rsidRDefault="000139DB" w:rsidP="000139DB">
            <w:pPr>
              <w:jc w:val="center"/>
              <w:rPr>
                <w:rFonts w:ascii="Poppins" w:hAnsi="Poppins" w:cs="Poppins"/>
                <w:color w:val="060645"/>
              </w:rPr>
            </w:pPr>
            <w:r w:rsidRPr="00437630">
              <w:rPr>
                <w:rFonts w:ascii="Poppins" w:hAnsi="Poppins" w:cs="Poppins"/>
                <w:color w:val="060645"/>
              </w:rPr>
              <w:t>18%</w:t>
            </w:r>
          </w:p>
        </w:tc>
        <w:tc>
          <w:tcPr>
            <w:tcW w:w="2835" w:type="dxa"/>
          </w:tcPr>
          <w:p w14:paraId="281CC643" w14:textId="126EEB1E" w:rsidR="000139DB" w:rsidRPr="00437630" w:rsidRDefault="000139DB" w:rsidP="000139DB">
            <w:pPr>
              <w:jc w:val="center"/>
              <w:rPr>
                <w:rFonts w:ascii="Poppins" w:hAnsi="Poppins" w:cs="Poppins"/>
                <w:color w:val="060645"/>
              </w:rPr>
            </w:pPr>
            <w:r w:rsidRPr="00437630">
              <w:rPr>
                <w:rFonts w:ascii="Poppins" w:hAnsi="Poppins" w:cs="Poppins"/>
                <w:color w:val="060645"/>
              </w:rPr>
              <w:t>25%</w:t>
            </w:r>
          </w:p>
        </w:tc>
      </w:tr>
      <w:tr w:rsidR="00437630" w:rsidRPr="00437630" w14:paraId="2508B888" w14:textId="77777777" w:rsidTr="00437630">
        <w:tc>
          <w:tcPr>
            <w:tcW w:w="3130" w:type="dxa"/>
          </w:tcPr>
          <w:p w14:paraId="4C27E13B" w14:textId="649C627E" w:rsidR="000139DB" w:rsidRPr="00437630" w:rsidRDefault="000139DB" w:rsidP="000139DB">
            <w:pPr>
              <w:jc w:val="center"/>
              <w:rPr>
                <w:rFonts w:ascii="Poppins" w:hAnsi="Poppins" w:cs="Poppins"/>
                <w:color w:val="060645"/>
              </w:rPr>
            </w:pPr>
            <w:r w:rsidRPr="00437630">
              <w:rPr>
                <w:rFonts w:ascii="Poppins" w:hAnsi="Poppins" w:cs="Poppins"/>
                <w:color w:val="060645"/>
              </w:rPr>
              <w:t>18 months</w:t>
            </w:r>
          </w:p>
        </w:tc>
        <w:tc>
          <w:tcPr>
            <w:tcW w:w="2835" w:type="dxa"/>
          </w:tcPr>
          <w:p w14:paraId="30F878C4" w14:textId="03A556D4" w:rsidR="000139DB" w:rsidRPr="00437630" w:rsidRDefault="000139DB" w:rsidP="000139DB">
            <w:pPr>
              <w:jc w:val="center"/>
              <w:rPr>
                <w:rFonts w:ascii="Poppins" w:hAnsi="Poppins" w:cs="Poppins"/>
                <w:color w:val="060645"/>
              </w:rPr>
            </w:pPr>
            <w:r w:rsidRPr="00437630">
              <w:rPr>
                <w:rFonts w:ascii="Poppins" w:hAnsi="Poppins" w:cs="Poppins"/>
                <w:color w:val="060645"/>
              </w:rPr>
              <w:t>16%</w:t>
            </w:r>
          </w:p>
        </w:tc>
        <w:tc>
          <w:tcPr>
            <w:tcW w:w="2835" w:type="dxa"/>
          </w:tcPr>
          <w:p w14:paraId="473DB2FF" w14:textId="1C047A43" w:rsidR="000139DB" w:rsidRPr="00437630" w:rsidRDefault="000139DB" w:rsidP="000139DB">
            <w:pPr>
              <w:jc w:val="center"/>
              <w:rPr>
                <w:rFonts w:ascii="Poppins" w:hAnsi="Poppins" w:cs="Poppins"/>
                <w:color w:val="060645"/>
              </w:rPr>
            </w:pPr>
            <w:r w:rsidRPr="00437630">
              <w:rPr>
                <w:rFonts w:ascii="Poppins" w:hAnsi="Poppins" w:cs="Poppins"/>
                <w:color w:val="060645"/>
              </w:rPr>
              <w:t>21%</w:t>
            </w:r>
          </w:p>
        </w:tc>
      </w:tr>
      <w:tr w:rsidR="00437630" w:rsidRPr="00437630" w14:paraId="2F65C2B5" w14:textId="77777777" w:rsidTr="00437630">
        <w:tc>
          <w:tcPr>
            <w:tcW w:w="3130" w:type="dxa"/>
          </w:tcPr>
          <w:p w14:paraId="5A9BEF5A" w14:textId="7D55806D" w:rsidR="000139DB" w:rsidRPr="00437630" w:rsidRDefault="000139DB" w:rsidP="000139DB">
            <w:pPr>
              <w:jc w:val="center"/>
              <w:rPr>
                <w:rFonts w:ascii="Poppins" w:hAnsi="Poppins" w:cs="Poppins"/>
                <w:color w:val="060645"/>
              </w:rPr>
            </w:pPr>
            <w:r w:rsidRPr="00437630">
              <w:rPr>
                <w:rFonts w:ascii="Poppins" w:hAnsi="Poppins" w:cs="Poppins"/>
                <w:color w:val="060645"/>
              </w:rPr>
              <w:t>2 years</w:t>
            </w:r>
          </w:p>
        </w:tc>
        <w:tc>
          <w:tcPr>
            <w:tcW w:w="2835" w:type="dxa"/>
          </w:tcPr>
          <w:p w14:paraId="2B3A4782" w14:textId="5668C74A" w:rsidR="000139DB" w:rsidRPr="00437630" w:rsidRDefault="000139DB" w:rsidP="000139DB">
            <w:pPr>
              <w:jc w:val="center"/>
              <w:rPr>
                <w:rFonts w:ascii="Poppins" w:hAnsi="Poppins" w:cs="Poppins"/>
                <w:color w:val="060645"/>
              </w:rPr>
            </w:pPr>
            <w:r w:rsidRPr="00437630">
              <w:rPr>
                <w:rFonts w:ascii="Poppins" w:hAnsi="Poppins" w:cs="Poppins"/>
                <w:color w:val="060645"/>
              </w:rPr>
              <w:t>13%</w:t>
            </w:r>
          </w:p>
        </w:tc>
        <w:tc>
          <w:tcPr>
            <w:tcW w:w="2835" w:type="dxa"/>
          </w:tcPr>
          <w:p w14:paraId="75D60AB5" w14:textId="523CD0FF" w:rsidR="000139DB" w:rsidRPr="00437630" w:rsidRDefault="000139DB" w:rsidP="000139DB">
            <w:pPr>
              <w:jc w:val="center"/>
              <w:rPr>
                <w:rFonts w:ascii="Poppins" w:hAnsi="Poppins" w:cs="Poppins"/>
                <w:color w:val="060645"/>
              </w:rPr>
            </w:pPr>
            <w:r w:rsidRPr="00437630">
              <w:rPr>
                <w:rFonts w:ascii="Poppins" w:hAnsi="Poppins" w:cs="Poppins"/>
                <w:color w:val="060645"/>
              </w:rPr>
              <w:t>17%</w:t>
            </w:r>
          </w:p>
        </w:tc>
      </w:tr>
      <w:tr w:rsidR="00437630" w:rsidRPr="00437630" w14:paraId="3A25F4B0" w14:textId="77777777" w:rsidTr="00437630">
        <w:tc>
          <w:tcPr>
            <w:tcW w:w="3130" w:type="dxa"/>
          </w:tcPr>
          <w:p w14:paraId="6DEB6474" w14:textId="635BABDA" w:rsidR="000139DB" w:rsidRPr="00437630" w:rsidRDefault="000139DB" w:rsidP="000139DB">
            <w:pPr>
              <w:jc w:val="center"/>
              <w:rPr>
                <w:rFonts w:ascii="Poppins" w:hAnsi="Poppins" w:cs="Poppins"/>
                <w:color w:val="060645"/>
              </w:rPr>
            </w:pPr>
            <w:r w:rsidRPr="00437630">
              <w:rPr>
                <w:rFonts w:ascii="Poppins" w:hAnsi="Poppins" w:cs="Poppins"/>
                <w:color w:val="060645"/>
              </w:rPr>
              <w:t>3 years</w:t>
            </w:r>
          </w:p>
        </w:tc>
        <w:tc>
          <w:tcPr>
            <w:tcW w:w="2835" w:type="dxa"/>
          </w:tcPr>
          <w:p w14:paraId="7A79BA03" w14:textId="4374DD1B" w:rsidR="000139DB" w:rsidRPr="00437630" w:rsidRDefault="000139DB" w:rsidP="000139DB">
            <w:pPr>
              <w:jc w:val="center"/>
              <w:rPr>
                <w:rFonts w:ascii="Poppins" w:hAnsi="Poppins" w:cs="Poppins"/>
                <w:color w:val="060645"/>
              </w:rPr>
            </w:pPr>
            <w:r w:rsidRPr="00437630">
              <w:rPr>
                <w:rFonts w:ascii="Poppins" w:hAnsi="Poppins" w:cs="Poppins"/>
                <w:color w:val="060645"/>
              </w:rPr>
              <w:t>8%</w:t>
            </w:r>
          </w:p>
        </w:tc>
        <w:tc>
          <w:tcPr>
            <w:tcW w:w="2835" w:type="dxa"/>
          </w:tcPr>
          <w:p w14:paraId="2AE1F94E" w14:textId="7DCCACFD" w:rsidR="000139DB" w:rsidRPr="00437630" w:rsidRDefault="000139DB" w:rsidP="000139DB">
            <w:pPr>
              <w:jc w:val="center"/>
              <w:rPr>
                <w:rFonts w:ascii="Poppins" w:hAnsi="Poppins" w:cs="Poppins"/>
                <w:color w:val="060645"/>
              </w:rPr>
            </w:pPr>
            <w:r w:rsidRPr="00437630">
              <w:rPr>
                <w:rFonts w:ascii="Poppins" w:hAnsi="Poppins" w:cs="Poppins"/>
                <w:color w:val="060645"/>
              </w:rPr>
              <w:t>12%</w:t>
            </w:r>
          </w:p>
        </w:tc>
      </w:tr>
      <w:tr w:rsidR="00437630" w:rsidRPr="00437630" w14:paraId="772EF5C6" w14:textId="77777777" w:rsidTr="00437630">
        <w:tc>
          <w:tcPr>
            <w:tcW w:w="3130" w:type="dxa"/>
          </w:tcPr>
          <w:p w14:paraId="5D28C520" w14:textId="63148E79" w:rsidR="000139DB" w:rsidRPr="00437630" w:rsidRDefault="000139DB" w:rsidP="000139DB">
            <w:pPr>
              <w:jc w:val="center"/>
              <w:rPr>
                <w:rFonts w:ascii="Poppins" w:hAnsi="Poppins" w:cs="Poppins"/>
                <w:color w:val="060645"/>
              </w:rPr>
            </w:pPr>
            <w:r w:rsidRPr="00437630">
              <w:rPr>
                <w:rFonts w:ascii="Poppins" w:hAnsi="Poppins" w:cs="Poppins"/>
                <w:color w:val="060645"/>
              </w:rPr>
              <w:t>4 years</w:t>
            </w:r>
          </w:p>
        </w:tc>
        <w:tc>
          <w:tcPr>
            <w:tcW w:w="2835" w:type="dxa"/>
          </w:tcPr>
          <w:p w14:paraId="001F3784" w14:textId="5DF1E930" w:rsidR="000139DB" w:rsidRPr="00437630" w:rsidRDefault="000139DB" w:rsidP="000139DB">
            <w:pPr>
              <w:jc w:val="center"/>
              <w:rPr>
                <w:rFonts w:ascii="Poppins" w:hAnsi="Poppins" w:cs="Poppins"/>
                <w:color w:val="060645"/>
              </w:rPr>
            </w:pPr>
            <w:r w:rsidRPr="00437630">
              <w:rPr>
                <w:rFonts w:ascii="Poppins" w:hAnsi="Poppins" w:cs="Poppins"/>
                <w:color w:val="060645"/>
              </w:rPr>
              <w:t>3%</w:t>
            </w:r>
          </w:p>
        </w:tc>
        <w:tc>
          <w:tcPr>
            <w:tcW w:w="2835" w:type="dxa"/>
          </w:tcPr>
          <w:p w14:paraId="48A18317" w14:textId="224633CE" w:rsidR="000139DB" w:rsidRPr="00437630" w:rsidRDefault="000139DB" w:rsidP="000139DB">
            <w:pPr>
              <w:jc w:val="center"/>
              <w:rPr>
                <w:rFonts w:ascii="Poppins" w:hAnsi="Poppins" w:cs="Poppins"/>
                <w:color w:val="060645"/>
              </w:rPr>
            </w:pPr>
            <w:r w:rsidRPr="00437630">
              <w:rPr>
                <w:rFonts w:ascii="Poppins" w:hAnsi="Poppins" w:cs="Poppins"/>
                <w:color w:val="060645"/>
              </w:rPr>
              <w:t>7%</w:t>
            </w:r>
          </w:p>
        </w:tc>
      </w:tr>
      <w:tr w:rsidR="00437630" w:rsidRPr="00437630" w14:paraId="3BDE86BE" w14:textId="77777777" w:rsidTr="00437630">
        <w:tc>
          <w:tcPr>
            <w:tcW w:w="3130" w:type="dxa"/>
          </w:tcPr>
          <w:p w14:paraId="5F97B526" w14:textId="37B12E0E" w:rsidR="000139DB" w:rsidRPr="00437630" w:rsidRDefault="000139DB" w:rsidP="000139DB">
            <w:pPr>
              <w:jc w:val="center"/>
              <w:rPr>
                <w:rFonts w:ascii="Poppins" w:hAnsi="Poppins" w:cs="Poppins"/>
                <w:color w:val="060645"/>
              </w:rPr>
            </w:pPr>
            <w:r w:rsidRPr="00437630">
              <w:rPr>
                <w:rFonts w:ascii="Poppins" w:hAnsi="Poppins" w:cs="Poppins"/>
                <w:color w:val="060645"/>
              </w:rPr>
              <w:t>5 years</w:t>
            </w:r>
          </w:p>
        </w:tc>
        <w:tc>
          <w:tcPr>
            <w:tcW w:w="2835" w:type="dxa"/>
          </w:tcPr>
          <w:p w14:paraId="5A0D5556" w14:textId="019D8949" w:rsidR="000139DB" w:rsidRPr="00437630" w:rsidRDefault="000139DB" w:rsidP="000139DB">
            <w:pPr>
              <w:jc w:val="center"/>
              <w:rPr>
                <w:rFonts w:ascii="Poppins" w:hAnsi="Poppins" w:cs="Poppins"/>
                <w:color w:val="060645"/>
              </w:rPr>
            </w:pPr>
            <w:r w:rsidRPr="00437630">
              <w:rPr>
                <w:rFonts w:ascii="Poppins" w:hAnsi="Poppins" w:cs="Poppins"/>
                <w:color w:val="060645"/>
              </w:rPr>
              <w:t>3%</w:t>
            </w:r>
          </w:p>
        </w:tc>
        <w:tc>
          <w:tcPr>
            <w:tcW w:w="2835" w:type="dxa"/>
          </w:tcPr>
          <w:p w14:paraId="4C8F989C" w14:textId="3C38CE2F" w:rsidR="000139DB" w:rsidRPr="00437630" w:rsidRDefault="000139DB" w:rsidP="000139DB">
            <w:pPr>
              <w:jc w:val="center"/>
              <w:rPr>
                <w:rFonts w:ascii="Poppins" w:hAnsi="Poppins" w:cs="Poppins"/>
                <w:color w:val="060645"/>
              </w:rPr>
            </w:pPr>
            <w:r w:rsidRPr="00437630">
              <w:rPr>
                <w:rFonts w:ascii="Poppins" w:hAnsi="Poppins" w:cs="Poppins"/>
                <w:color w:val="060645"/>
              </w:rPr>
              <w:t>2%</w:t>
            </w:r>
          </w:p>
        </w:tc>
      </w:tr>
      <w:tr w:rsidR="00437630" w:rsidRPr="00437630" w14:paraId="5885A646" w14:textId="77777777" w:rsidTr="00437630">
        <w:tc>
          <w:tcPr>
            <w:tcW w:w="3130" w:type="dxa"/>
          </w:tcPr>
          <w:p w14:paraId="62E3FA58" w14:textId="6945FDF5" w:rsidR="000139DB" w:rsidRPr="00437630" w:rsidRDefault="000139DB" w:rsidP="000139DB">
            <w:pPr>
              <w:jc w:val="center"/>
              <w:rPr>
                <w:rFonts w:ascii="Poppins" w:hAnsi="Poppins" w:cs="Poppins"/>
                <w:color w:val="060645"/>
              </w:rPr>
            </w:pPr>
            <w:r w:rsidRPr="00437630">
              <w:rPr>
                <w:rFonts w:ascii="Poppins" w:hAnsi="Poppins" w:cs="Poppins"/>
                <w:color w:val="060645"/>
              </w:rPr>
              <w:t>6 years &amp; over</w:t>
            </w:r>
          </w:p>
        </w:tc>
        <w:tc>
          <w:tcPr>
            <w:tcW w:w="2835" w:type="dxa"/>
          </w:tcPr>
          <w:p w14:paraId="5F07DB35" w14:textId="72074092" w:rsidR="000139DB" w:rsidRPr="00437630" w:rsidRDefault="000139DB" w:rsidP="000139DB">
            <w:pPr>
              <w:jc w:val="center"/>
              <w:rPr>
                <w:rFonts w:ascii="Poppins" w:hAnsi="Poppins" w:cs="Poppins"/>
                <w:color w:val="060645"/>
              </w:rPr>
            </w:pPr>
            <w:r w:rsidRPr="00437630">
              <w:rPr>
                <w:rFonts w:ascii="Poppins" w:hAnsi="Poppins" w:cs="Poppins"/>
                <w:color w:val="060645"/>
              </w:rPr>
              <w:t>Negligible</w:t>
            </w:r>
          </w:p>
        </w:tc>
        <w:tc>
          <w:tcPr>
            <w:tcW w:w="2835" w:type="dxa"/>
          </w:tcPr>
          <w:p w14:paraId="4B7166E8" w14:textId="417BAE59" w:rsidR="000139DB" w:rsidRPr="00437630" w:rsidRDefault="000139DB" w:rsidP="000139DB">
            <w:pPr>
              <w:jc w:val="center"/>
              <w:rPr>
                <w:rFonts w:ascii="Poppins" w:hAnsi="Poppins" w:cs="Poppins"/>
                <w:color w:val="060645"/>
              </w:rPr>
            </w:pPr>
            <w:r w:rsidRPr="00437630">
              <w:rPr>
                <w:rFonts w:ascii="Poppins" w:hAnsi="Poppins" w:cs="Poppins"/>
                <w:color w:val="060645"/>
              </w:rPr>
              <w:t>Negligible</w:t>
            </w:r>
          </w:p>
        </w:tc>
      </w:tr>
    </w:tbl>
    <w:p w14:paraId="0A31CB08" w14:textId="38344554" w:rsidR="00303900" w:rsidRPr="00437630" w:rsidRDefault="00303900" w:rsidP="004155C9">
      <w:pPr>
        <w:ind w:left="780"/>
        <w:rPr>
          <w:rFonts w:ascii="Poppins" w:hAnsi="Poppins" w:cs="Poppins"/>
          <w:color w:val="060645"/>
        </w:rPr>
      </w:pPr>
    </w:p>
    <w:p w14:paraId="4E3A0654" w14:textId="245C20C2" w:rsidR="000139DB" w:rsidRPr="00437630" w:rsidRDefault="00303900" w:rsidP="001F7D6C">
      <w:pPr>
        <w:rPr>
          <w:rFonts w:ascii="Poppins" w:hAnsi="Poppins" w:cs="Poppins"/>
          <w:color w:val="060645"/>
        </w:rPr>
      </w:pPr>
      <w:r w:rsidRPr="00437630">
        <w:rPr>
          <w:rFonts w:ascii="Poppins" w:hAnsi="Poppins" w:cs="Poppins"/>
          <w:color w:val="060645"/>
        </w:rPr>
        <w:t xml:space="preserve">In order to preserve the tax benefits of the scheme, there can be no guarantee or obligation to offer ownership to the employee immediately after the </w:t>
      </w:r>
      <w:r w:rsidR="009A2207" w:rsidRPr="00437630">
        <w:rPr>
          <w:rFonts w:ascii="Poppins" w:hAnsi="Poppins" w:cs="Poppins"/>
          <w:color w:val="060645"/>
        </w:rPr>
        <w:t>hire agreement</w:t>
      </w:r>
      <w:r w:rsidRPr="00437630">
        <w:rPr>
          <w:rFonts w:ascii="Poppins" w:hAnsi="Poppins" w:cs="Poppins"/>
          <w:color w:val="060645"/>
        </w:rPr>
        <w:t xml:space="preserve"> has ended. However, employers invariably offer this option, either directly or via Cyclescheme.</w:t>
      </w:r>
    </w:p>
    <w:p w14:paraId="7B064294" w14:textId="4EB38343" w:rsidR="00303900" w:rsidRPr="00437630" w:rsidRDefault="00303900" w:rsidP="001F7D6C">
      <w:pPr>
        <w:rPr>
          <w:rFonts w:ascii="Poppins" w:hAnsi="Poppins" w:cs="Poppins"/>
          <w:b/>
          <w:bCs/>
          <w:color w:val="060645"/>
        </w:rPr>
      </w:pPr>
      <w:r w:rsidRPr="00437630">
        <w:rPr>
          <w:rFonts w:ascii="Poppins" w:hAnsi="Poppins" w:cs="Poppins"/>
          <w:b/>
          <w:bCs/>
          <w:color w:val="060645"/>
        </w:rPr>
        <w:t>5.0 Useful information for advice</w:t>
      </w:r>
    </w:p>
    <w:p w14:paraId="32F3C1D2" w14:textId="51700857" w:rsidR="00303900" w:rsidRPr="00437630" w:rsidRDefault="00303900" w:rsidP="001F7D6C">
      <w:pPr>
        <w:rPr>
          <w:rFonts w:ascii="Poppins" w:hAnsi="Poppins" w:cs="Poppins"/>
          <w:color w:val="060645"/>
        </w:rPr>
      </w:pPr>
      <w:r w:rsidRPr="00437630">
        <w:rPr>
          <w:rFonts w:ascii="Poppins" w:hAnsi="Poppins" w:cs="Poppins"/>
          <w:color w:val="060645"/>
        </w:rPr>
        <w:t>For further advice on the Cycle to Work scheme, please follow these links:</w:t>
      </w:r>
    </w:p>
    <w:p w14:paraId="51FCDCC1" w14:textId="7A486752" w:rsidR="00303900" w:rsidRPr="00437630" w:rsidRDefault="00303900" w:rsidP="001F7D6C">
      <w:pPr>
        <w:pStyle w:val="ListParagraph"/>
        <w:numPr>
          <w:ilvl w:val="0"/>
          <w:numId w:val="16"/>
        </w:numPr>
        <w:ind w:left="360"/>
        <w:rPr>
          <w:rFonts w:ascii="Poppins" w:hAnsi="Poppins" w:cs="Poppins"/>
          <w:color w:val="060645"/>
        </w:rPr>
      </w:pPr>
      <w:r w:rsidRPr="00437630">
        <w:rPr>
          <w:rFonts w:ascii="Poppins" w:hAnsi="Poppins" w:cs="Poppins"/>
          <w:color w:val="060645"/>
        </w:rPr>
        <w:t xml:space="preserve">Department for Transport – </w:t>
      </w:r>
      <w:hyperlink r:id="rId18" w:history="1">
        <w:r w:rsidRPr="00063AD3">
          <w:rPr>
            <w:rStyle w:val="Hyperlink"/>
            <w:rFonts w:ascii="Poppins" w:hAnsi="Poppins" w:cs="Poppins"/>
            <w:b/>
            <w:bCs/>
            <w:color w:val="060645"/>
          </w:rPr>
          <w:t>https://www.gov.uk/government/publications/cycle-to-work-scheme-implementation-guidance</w:t>
        </w:r>
      </w:hyperlink>
      <w:r w:rsidRPr="00437630">
        <w:rPr>
          <w:rFonts w:ascii="Poppins" w:hAnsi="Poppins" w:cs="Poppins"/>
          <w:color w:val="060645"/>
        </w:rPr>
        <w:t xml:space="preserve"> </w:t>
      </w:r>
    </w:p>
    <w:p w14:paraId="62D97791" w14:textId="5657526F" w:rsidR="00303900" w:rsidRPr="00437630" w:rsidRDefault="00303900" w:rsidP="001F7D6C">
      <w:pPr>
        <w:pStyle w:val="ListParagraph"/>
        <w:numPr>
          <w:ilvl w:val="0"/>
          <w:numId w:val="16"/>
        </w:numPr>
        <w:ind w:left="360"/>
        <w:rPr>
          <w:rFonts w:ascii="Poppins" w:hAnsi="Poppins" w:cs="Poppins"/>
          <w:color w:val="060645"/>
        </w:rPr>
      </w:pPr>
      <w:r w:rsidRPr="00437630">
        <w:rPr>
          <w:rFonts w:ascii="Poppins" w:hAnsi="Poppins" w:cs="Poppins"/>
          <w:color w:val="060645"/>
        </w:rPr>
        <w:t xml:space="preserve">HMRC for specific details on tax – </w:t>
      </w:r>
      <w:hyperlink r:id="rId19" w:history="1">
        <w:r w:rsidRPr="00063AD3">
          <w:rPr>
            <w:rStyle w:val="Hyperlink"/>
            <w:rFonts w:ascii="Poppins" w:hAnsi="Poppins" w:cs="Poppins"/>
            <w:b/>
            <w:bCs/>
            <w:color w:val="060645"/>
          </w:rPr>
          <w:t>https://www.gov.uk/contact-hmrc</w:t>
        </w:r>
      </w:hyperlink>
      <w:r w:rsidRPr="00437630">
        <w:rPr>
          <w:rFonts w:ascii="Poppins" w:hAnsi="Poppins" w:cs="Poppins"/>
          <w:color w:val="060645"/>
        </w:rPr>
        <w:t xml:space="preserve"> </w:t>
      </w:r>
    </w:p>
    <w:p w14:paraId="6E46CEC5" w14:textId="00EF3D95" w:rsidR="00303900" w:rsidRPr="00437630" w:rsidRDefault="00303900" w:rsidP="001F7D6C">
      <w:pPr>
        <w:pStyle w:val="ListParagraph"/>
        <w:numPr>
          <w:ilvl w:val="0"/>
          <w:numId w:val="16"/>
        </w:numPr>
        <w:ind w:left="360"/>
        <w:rPr>
          <w:rFonts w:ascii="Poppins" w:hAnsi="Poppins" w:cs="Poppins"/>
          <w:color w:val="060645"/>
        </w:rPr>
      </w:pPr>
      <w:r w:rsidRPr="00437630">
        <w:rPr>
          <w:rFonts w:ascii="Poppins" w:hAnsi="Poppins" w:cs="Poppins"/>
          <w:color w:val="060645"/>
        </w:rPr>
        <w:t xml:space="preserve">Cyclescheme – </w:t>
      </w:r>
      <w:hyperlink r:id="rId20" w:history="1">
        <w:r w:rsidRPr="00063AD3">
          <w:rPr>
            <w:rStyle w:val="Hyperlink"/>
            <w:rFonts w:ascii="Poppins" w:hAnsi="Poppins" w:cs="Poppins"/>
            <w:b/>
            <w:bCs/>
            <w:color w:val="060645"/>
          </w:rPr>
          <w:t>https://www.cyclescheme.co.uk/</w:t>
        </w:r>
      </w:hyperlink>
      <w:r w:rsidRPr="00437630">
        <w:rPr>
          <w:rFonts w:ascii="Poppins" w:hAnsi="Poppins" w:cs="Poppins"/>
          <w:color w:val="060645"/>
        </w:rPr>
        <w:t xml:space="preserve"> </w:t>
      </w:r>
    </w:p>
    <w:p w14:paraId="751A3519" w14:textId="7D054F79" w:rsidR="00E83557" w:rsidRPr="00437630" w:rsidRDefault="00E83557" w:rsidP="00AF2617">
      <w:pPr>
        <w:rPr>
          <w:rFonts w:ascii="Poppins" w:hAnsi="Poppins" w:cs="Poppins"/>
          <w:color w:val="060645"/>
        </w:rPr>
      </w:pPr>
    </w:p>
    <w:p w14:paraId="0DC2F3AF" w14:textId="77777777" w:rsidR="000139DB" w:rsidRPr="00437630" w:rsidRDefault="000139DB" w:rsidP="003F19E9">
      <w:pPr>
        <w:rPr>
          <w:rFonts w:ascii="Poppins" w:hAnsi="Poppins" w:cs="Poppins"/>
          <w:color w:val="060645"/>
        </w:rPr>
      </w:pPr>
    </w:p>
    <w:sectPr w:rsidR="000139DB" w:rsidRPr="0043763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C44EC" w14:textId="77777777" w:rsidR="00BE37DF" w:rsidRDefault="00BE37DF" w:rsidP="00CD33C8">
      <w:pPr>
        <w:spacing w:after="0" w:line="240" w:lineRule="auto"/>
      </w:pPr>
      <w:r>
        <w:separator/>
      </w:r>
    </w:p>
  </w:endnote>
  <w:endnote w:type="continuationSeparator" w:id="0">
    <w:p w14:paraId="20FC2DBB" w14:textId="77777777" w:rsidR="00BE37DF" w:rsidRDefault="00BE37DF" w:rsidP="00CD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35926574"/>
      <w:docPartObj>
        <w:docPartGallery w:val="Page Numbers (Bottom of Page)"/>
        <w:docPartUnique/>
      </w:docPartObj>
    </w:sdtPr>
    <w:sdtEndPr>
      <w:rPr>
        <w:noProof/>
      </w:rPr>
    </w:sdtEndPr>
    <w:sdtContent>
      <w:p w14:paraId="18D39C6A" w14:textId="01B6123F" w:rsidR="00063AD3" w:rsidRDefault="00121F58">
        <w:pPr>
          <w:pStyle w:val="Footer"/>
          <w:jc w:val="right"/>
          <w:rPr>
            <w:rFonts w:asciiTheme="majorHAnsi" w:eastAsiaTheme="majorEastAsia" w:hAnsiTheme="majorHAnsi" w:cstheme="majorBidi"/>
            <w:sz w:val="28"/>
            <w:szCs w:val="28"/>
          </w:rPr>
        </w:pPr>
        <w:r>
          <w:rPr>
            <w:noProof/>
          </w:rPr>
          <w:drawing>
            <wp:anchor distT="0" distB="0" distL="114300" distR="114300" simplePos="0" relativeHeight="251658240" behindDoc="0" locked="0" layoutInCell="1" allowOverlap="1" wp14:anchorId="3051AD35" wp14:editId="6D70D6C7">
              <wp:simplePos x="0" y="0"/>
              <wp:positionH relativeFrom="margin">
                <wp:align>left</wp:align>
              </wp:positionH>
              <wp:positionV relativeFrom="paragraph">
                <wp:posOffset>9525</wp:posOffset>
              </wp:positionV>
              <wp:extent cx="14097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AD3" w:rsidRPr="00063AD3">
          <w:rPr>
            <w:rFonts w:ascii="Poppins" w:eastAsiaTheme="majorEastAsia" w:hAnsi="Poppins" w:cs="Poppins"/>
            <w:b/>
            <w:bCs/>
            <w:color w:val="060645"/>
            <w:sz w:val="24"/>
            <w:szCs w:val="24"/>
          </w:rPr>
          <w:t xml:space="preserve">pg. </w:t>
        </w:r>
        <w:r w:rsidR="00063AD3" w:rsidRPr="00063AD3">
          <w:rPr>
            <w:rFonts w:ascii="Poppins" w:eastAsiaTheme="minorEastAsia" w:hAnsi="Poppins" w:cs="Poppins"/>
            <w:b/>
            <w:bCs/>
            <w:color w:val="060645"/>
            <w:sz w:val="24"/>
            <w:szCs w:val="24"/>
          </w:rPr>
          <w:fldChar w:fldCharType="begin"/>
        </w:r>
        <w:r w:rsidR="00063AD3" w:rsidRPr="00063AD3">
          <w:rPr>
            <w:rFonts w:ascii="Poppins" w:hAnsi="Poppins" w:cs="Poppins"/>
            <w:b/>
            <w:bCs/>
            <w:color w:val="060645"/>
            <w:sz w:val="24"/>
            <w:szCs w:val="24"/>
          </w:rPr>
          <w:instrText xml:space="preserve"> PAGE    \* MERGEFORMAT </w:instrText>
        </w:r>
        <w:r w:rsidR="00063AD3" w:rsidRPr="00063AD3">
          <w:rPr>
            <w:rFonts w:ascii="Poppins" w:eastAsiaTheme="minorEastAsia" w:hAnsi="Poppins" w:cs="Poppins"/>
            <w:b/>
            <w:bCs/>
            <w:color w:val="060645"/>
            <w:sz w:val="24"/>
            <w:szCs w:val="24"/>
          </w:rPr>
          <w:fldChar w:fldCharType="separate"/>
        </w:r>
        <w:r w:rsidR="00063AD3" w:rsidRPr="00063AD3">
          <w:rPr>
            <w:rFonts w:ascii="Poppins" w:eastAsiaTheme="majorEastAsia" w:hAnsi="Poppins" w:cs="Poppins"/>
            <w:b/>
            <w:bCs/>
            <w:noProof/>
            <w:color w:val="060645"/>
            <w:sz w:val="24"/>
            <w:szCs w:val="24"/>
          </w:rPr>
          <w:t>2</w:t>
        </w:r>
        <w:r w:rsidR="00063AD3" w:rsidRPr="00063AD3">
          <w:rPr>
            <w:rFonts w:ascii="Poppins" w:eastAsiaTheme="majorEastAsia" w:hAnsi="Poppins" w:cs="Poppins"/>
            <w:b/>
            <w:bCs/>
            <w:noProof/>
            <w:color w:val="060645"/>
            <w:sz w:val="24"/>
            <w:szCs w:val="24"/>
          </w:rPr>
          <w:fldChar w:fldCharType="end"/>
        </w:r>
      </w:p>
    </w:sdtContent>
  </w:sdt>
  <w:p w14:paraId="05AFEF9D" w14:textId="732230C6" w:rsidR="00CD33C8" w:rsidRDefault="00CD3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616F" w14:textId="77777777" w:rsidR="00BE37DF" w:rsidRDefault="00BE37DF" w:rsidP="00CD33C8">
      <w:pPr>
        <w:spacing w:after="0" w:line="240" w:lineRule="auto"/>
      </w:pPr>
      <w:r>
        <w:separator/>
      </w:r>
    </w:p>
  </w:footnote>
  <w:footnote w:type="continuationSeparator" w:id="0">
    <w:p w14:paraId="680BE935" w14:textId="77777777" w:rsidR="00BE37DF" w:rsidRDefault="00BE37DF" w:rsidP="00CD3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F9FD" w14:textId="66A2B29F" w:rsidR="00CD33C8" w:rsidRPr="00437630" w:rsidRDefault="00CD33C8" w:rsidP="00CD33C8">
    <w:pPr>
      <w:jc w:val="center"/>
      <w:rPr>
        <w:rFonts w:ascii="Poppins" w:hAnsi="Poppins" w:cs="Poppins"/>
        <w:b/>
        <w:bCs/>
        <w:color w:val="060645"/>
        <w:sz w:val="24"/>
        <w:szCs w:val="24"/>
      </w:rPr>
    </w:pPr>
    <w:r w:rsidRPr="00437630">
      <w:rPr>
        <w:rFonts w:ascii="Poppins" w:hAnsi="Poppins" w:cs="Poppins"/>
        <w:b/>
        <w:bCs/>
        <w:color w:val="060645"/>
        <w:sz w:val="24"/>
        <w:szCs w:val="24"/>
      </w:rPr>
      <w:t>Cyclescheme Guidance</w:t>
    </w:r>
    <w:r w:rsidR="00A7289B" w:rsidRPr="00437630">
      <w:rPr>
        <w:rFonts w:ascii="Poppins" w:hAnsi="Poppins" w:cs="Poppins"/>
        <w:b/>
        <w:bCs/>
        <w:color w:val="060645"/>
        <w:sz w:val="24"/>
        <w:szCs w:val="24"/>
      </w:rPr>
      <w:t xml:space="preserve"> at the Open University</w:t>
    </w:r>
  </w:p>
  <w:p w14:paraId="12452A11" w14:textId="77777777" w:rsidR="00CD33C8" w:rsidRDefault="00CD3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72A"/>
      </v:shape>
    </w:pict>
  </w:numPicBullet>
  <w:abstractNum w:abstractNumId="0" w15:restartNumberingAfterBreak="0">
    <w:nsid w:val="01222634"/>
    <w:multiLevelType w:val="hybridMultilevel"/>
    <w:tmpl w:val="BFBAE0C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BB127F"/>
    <w:multiLevelType w:val="hybridMultilevel"/>
    <w:tmpl w:val="AE44EA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52766B"/>
    <w:multiLevelType w:val="multilevel"/>
    <w:tmpl w:val="5A4A3F96"/>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09826615"/>
    <w:multiLevelType w:val="hybridMultilevel"/>
    <w:tmpl w:val="075A80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D185B"/>
    <w:multiLevelType w:val="hybridMultilevel"/>
    <w:tmpl w:val="0792EA9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33765F"/>
    <w:multiLevelType w:val="hybridMultilevel"/>
    <w:tmpl w:val="9B28FE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A06034"/>
    <w:multiLevelType w:val="hybridMultilevel"/>
    <w:tmpl w:val="EDBA8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61EBD"/>
    <w:multiLevelType w:val="multilevel"/>
    <w:tmpl w:val="BF40A7F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EB12D4"/>
    <w:multiLevelType w:val="multilevel"/>
    <w:tmpl w:val="ECA4D9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A265141"/>
    <w:multiLevelType w:val="hybridMultilevel"/>
    <w:tmpl w:val="03341FE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AA39EA"/>
    <w:multiLevelType w:val="hybridMultilevel"/>
    <w:tmpl w:val="315295C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234964FD"/>
    <w:multiLevelType w:val="hybridMultilevel"/>
    <w:tmpl w:val="22CEC1B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840C9B"/>
    <w:multiLevelType w:val="multilevel"/>
    <w:tmpl w:val="7CCACB24"/>
    <w:lvl w:ilvl="0">
      <w:start w:val="1"/>
      <w:numFmt w:val="decimal"/>
      <w:lvlText w:val="%1.0"/>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DFE0CB8"/>
    <w:multiLevelType w:val="hybridMultilevel"/>
    <w:tmpl w:val="26A873C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2D5D6A"/>
    <w:multiLevelType w:val="hybridMultilevel"/>
    <w:tmpl w:val="04823D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12203"/>
    <w:multiLevelType w:val="hybridMultilevel"/>
    <w:tmpl w:val="040CB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D5090"/>
    <w:multiLevelType w:val="multilevel"/>
    <w:tmpl w:val="DDAC9B16"/>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17" w15:restartNumberingAfterBreak="0">
    <w:nsid w:val="58BC7AC8"/>
    <w:multiLevelType w:val="hybridMultilevel"/>
    <w:tmpl w:val="2CCAB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E3468"/>
    <w:multiLevelType w:val="hybridMultilevel"/>
    <w:tmpl w:val="8DB279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E7DC2"/>
    <w:multiLevelType w:val="multilevel"/>
    <w:tmpl w:val="63F069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64F36C5"/>
    <w:multiLevelType w:val="hybridMultilevel"/>
    <w:tmpl w:val="C714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F92A08"/>
    <w:multiLevelType w:val="hybridMultilevel"/>
    <w:tmpl w:val="5EF699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CB1176D"/>
    <w:multiLevelType w:val="hybridMultilevel"/>
    <w:tmpl w:val="D4A666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152451"/>
    <w:multiLevelType w:val="hybridMultilevel"/>
    <w:tmpl w:val="EA4875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F48F7"/>
    <w:multiLevelType w:val="hybridMultilevel"/>
    <w:tmpl w:val="CB10D7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1F1180"/>
    <w:multiLevelType w:val="multilevel"/>
    <w:tmpl w:val="5B7C1074"/>
    <w:lvl w:ilvl="0">
      <w:start w:val="1"/>
      <w:numFmt w:val="decimal"/>
      <w:lvlText w:val="%1."/>
      <w:lvlJc w:val="left"/>
      <w:pPr>
        <w:ind w:left="360" w:hanging="360"/>
      </w:pPr>
      <w:rPr>
        <w:rFonts w:hint="default"/>
        <w:b/>
        <w:bCs/>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3F13881"/>
    <w:multiLevelType w:val="hybridMultilevel"/>
    <w:tmpl w:val="E1144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4916C2"/>
    <w:multiLevelType w:val="hybridMultilevel"/>
    <w:tmpl w:val="8CFE5E08"/>
    <w:lvl w:ilvl="0" w:tplc="D758C6E8">
      <w:start w:val="1"/>
      <w:numFmt w:val="decimal"/>
      <w:lvlText w:val="%1."/>
      <w:lvlJc w:val="left"/>
      <w:pPr>
        <w:ind w:left="1494" w:hanging="360"/>
      </w:pPr>
      <w:rPr>
        <w:rFonts w:hint="default"/>
        <w:b w:val="0"/>
        <w:bCs w:val="0"/>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A420F77"/>
    <w:multiLevelType w:val="multilevel"/>
    <w:tmpl w:val="24AAD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7004214">
    <w:abstractNumId w:val="19"/>
  </w:num>
  <w:num w:numId="2" w16cid:durableId="622662474">
    <w:abstractNumId w:val="28"/>
  </w:num>
  <w:num w:numId="3" w16cid:durableId="1060011039">
    <w:abstractNumId w:val="5"/>
  </w:num>
  <w:num w:numId="4" w16cid:durableId="665472836">
    <w:abstractNumId w:val="25"/>
  </w:num>
  <w:num w:numId="5" w16cid:durableId="1217745275">
    <w:abstractNumId w:val="4"/>
  </w:num>
  <w:num w:numId="6" w16cid:durableId="913663967">
    <w:abstractNumId w:val="11"/>
  </w:num>
  <w:num w:numId="7" w16cid:durableId="718746990">
    <w:abstractNumId w:val="13"/>
  </w:num>
  <w:num w:numId="8" w16cid:durableId="2120950898">
    <w:abstractNumId w:val="15"/>
  </w:num>
  <w:num w:numId="9" w16cid:durableId="1929382941">
    <w:abstractNumId w:val="17"/>
  </w:num>
  <w:num w:numId="10" w16cid:durableId="365175964">
    <w:abstractNumId w:val="16"/>
  </w:num>
  <w:num w:numId="11" w16cid:durableId="1601907514">
    <w:abstractNumId w:val="7"/>
  </w:num>
  <w:num w:numId="12" w16cid:durableId="624624548">
    <w:abstractNumId w:val="2"/>
  </w:num>
  <w:num w:numId="13" w16cid:durableId="950476201">
    <w:abstractNumId w:val="1"/>
  </w:num>
  <w:num w:numId="14" w16cid:durableId="1946690038">
    <w:abstractNumId w:val="8"/>
  </w:num>
  <w:num w:numId="15" w16cid:durableId="1601181491">
    <w:abstractNumId w:val="20"/>
  </w:num>
  <w:num w:numId="16" w16cid:durableId="941424877">
    <w:abstractNumId w:val="22"/>
  </w:num>
  <w:num w:numId="17" w16cid:durableId="1377310402">
    <w:abstractNumId w:val="3"/>
  </w:num>
  <w:num w:numId="18" w16cid:durableId="1385057807">
    <w:abstractNumId w:val="18"/>
  </w:num>
  <w:num w:numId="19" w16cid:durableId="817457791">
    <w:abstractNumId w:val="6"/>
  </w:num>
  <w:num w:numId="20" w16cid:durableId="741103442">
    <w:abstractNumId w:val="14"/>
  </w:num>
  <w:num w:numId="21" w16cid:durableId="588083788">
    <w:abstractNumId w:val="9"/>
  </w:num>
  <w:num w:numId="22" w16cid:durableId="1438790094">
    <w:abstractNumId w:val="23"/>
  </w:num>
  <w:num w:numId="23" w16cid:durableId="48266286">
    <w:abstractNumId w:val="0"/>
  </w:num>
  <w:num w:numId="24" w16cid:durableId="1754470779">
    <w:abstractNumId w:val="24"/>
  </w:num>
  <w:num w:numId="25" w16cid:durableId="297809597">
    <w:abstractNumId w:val="12"/>
  </w:num>
  <w:num w:numId="26" w16cid:durableId="1292057419">
    <w:abstractNumId w:val="27"/>
  </w:num>
  <w:num w:numId="27" w16cid:durableId="1188329051">
    <w:abstractNumId w:val="21"/>
  </w:num>
  <w:num w:numId="28" w16cid:durableId="1932278267">
    <w:abstractNumId w:val="10"/>
  </w:num>
  <w:num w:numId="29" w16cid:durableId="76986191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89"/>
    <w:rsid w:val="0000673B"/>
    <w:rsid w:val="000139DB"/>
    <w:rsid w:val="00025A35"/>
    <w:rsid w:val="00063AD3"/>
    <w:rsid w:val="000D220F"/>
    <w:rsid w:val="000E7365"/>
    <w:rsid w:val="0010325D"/>
    <w:rsid w:val="00121F58"/>
    <w:rsid w:val="00147980"/>
    <w:rsid w:val="00155E0B"/>
    <w:rsid w:val="001B452C"/>
    <w:rsid w:val="001D1987"/>
    <w:rsid w:val="001F7D6C"/>
    <w:rsid w:val="0020010A"/>
    <w:rsid w:val="0021347C"/>
    <w:rsid w:val="00231637"/>
    <w:rsid w:val="002748E1"/>
    <w:rsid w:val="00303900"/>
    <w:rsid w:val="00383EC6"/>
    <w:rsid w:val="003F19E9"/>
    <w:rsid w:val="003F2D36"/>
    <w:rsid w:val="003F460A"/>
    <w:rsid w:val="004155C9"/>
    <w:rsid w:val="00434559"/>
    <w:rsid w:val="00437630"/>
    <w:rsid w:val="004527EB"/>
    <w:rsid w:val="0045399F"/>
    <w:rsid w:val="004675BC"/>
    <w:rsid w:val="004A07D8"/>
    <w:rsid w:val="004D3581"/>
    <w:rsid w:val="00504892"/>
    <w:rsid w:val="0051023F"/>
    <w:rsid w:val="00581552"/>
    <w:rsid w:val="005A2970"/>
    <w:rsid w:val="005C08BB"/>
    <w:rsid w:val="005D7B64"/>
    <w:rsid w:val="00692384"/>
    <w:rsid w:val="006950E2"/>
    <w:rsid w:val="006A1883"/>
    <w:rsid w:val="006D595A"/>
    <w:rsid w:val="0072039A"/>
    <w:rsid w:val="00721889"/>
    <w:rsid w:val="00727344"/>
    <w:rsid w:val="00775127"/>
    <w:rsid w:val="007B3007"/>
    <w:rsid w:val="007D0EBC"/>
    <w:rsid w:val="007F5E6B"/>
    <w:rsid w:val="008266C7"/>
    <w:rsid w:val="00862CB6"/>
    <w:rsid w:val="008B706F"/>
    <w:rsid w:val="008B7EBB"/>
    <w:rsid w:val="009A2207"/>
    <w:rsid w:val="00A04A9A"/>
    <w:rsid w:val="00A50AE4"/>
    <w:rsid w:val="00A5230C"/>
    <w:rsid w:val="00A7289B"/>
    <w:rsid w:val="00AF2617"/>
    <w:rsid w:val="00B32C71"/>
    <w:rsid w:val="00B4091A"/>
    <w:rsid w:val="00B73918"/>
    <w:rsid w:val="00B75F8F"/>
    <w:rsid w:val="00BB3DE3"/>
    <w:rsid w:val="00BD7816"/>
    <w:rsid w:val="00BE37DF"/>
    <w:rsid w:val="00C135E3"/>
    <w:rsid w:val="00C33214"/>
    <w:rsid w:val="00C503F8"/>
    <w:rsid w:val="00C93989"/>
    <w:rsid w:val="00CB6911"/>
    <w:rsid w:val="00CD33C8"/>
    <w:rsid w:val="00CD474D"/>
    <w:rsid w:val="00D20A73"/>
    <w:rsid w:val="00D5643F"/>
    <w:rsid w:val="00D85103"/>
    <w:rsid w:val="00D94D79"/>
    <w:rsid w:val="00D950F2"/>
    <w:rsid w:val="00DB4873"/>
    <w:rsid w:val="00DC65E3"/>
    <w:rsid w:val="00E056F2"/>
    <w:rsid w:val="00E13A81"/>
    <w:rsid w:val="00E61D50"/>
    <w:rsid w:val="00E83557"/>
    <w:rsid w:val="00ED6272"/>
    <w:rsid w:val="00EE000A"/>
    <w:rsid w:val="00F34596"/>
    <w:rsid w:val="00F5389E"/>
    <w:rsid w:val="00F9024F"/>
    <w:rsid w:val="00F9358E"/>
    <w:rsid w:val="00F962DF"/>
    <w:rsid w:val="00FA6738"/>
    <w:rsid w:val="00FB7E05"/>
    <w:rsid w:val="00FC2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12E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3C8"/>
  </w:style>
  <w:style w:type="paragraph" w:styleId="Footer">
    <w:name w:val="footer"/>
    <w:basedOn w:val="Normal"/>
    <w:link w:val="FooterChar"/>
    <w:uiPriority w:val="99"/>
    <w:unhideWhenUsed/>
    <w:rsid w:val="00CD3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3C8"/>
  </w:style>
  <w:style w:type="table" w:styleId="TableGrid">
    <w:name w:val="Table Grid"/>
    <w:basedOn w:val="TableNormal"/>
    <w:uiPriority w:val="39"/>
    <w:rsid w:val="00CD3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EBB"/>
    <w:pPr>
      <w:ind w:left="720"/>
      <w:contextualSpacing/>
    </w:pPr>
  </w:style>
  <w:style w:type="paragraph" w:customStyle="1" w:styleId="Default">
    <w:name w:val="Default"/>
    <w:rsid w:val="002001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B7E05"/>
    <w:rPr>
      <w:color w:val="0563C1" w:themeColor="hyperlink"/>
      <w:u w:val="single"/>
    </w:rPr>
  </w:style>
  <w:style w:type="character" w:styleId="UnresolvedMention">
    <w:name w:val="Unresolved Mention"/>
    <w:basedOn w:val="DefaultParagraphFont"/>
    <w:uiPriority w:val="99"/>
    <w:semiHidden/>
    <w:unhideWhenUsed/>
    <w:rsid w:val="00FB7E05"/>
    <w:rPr>
      <w:color w:val="605E5C"/>
      <w:shd w:val="clear" w:color="auto" w:fill="E1DFDD"/>
    </w:rPr>
  </w:style>
  <w:style w:type="character" w:styleId="FollowedHyperlink">
    <w:name w:val="FollowedHyperlink"/>
    <w:basedOn w:val="DefaultParagraphFont"/>
    <w:uiPriority w:val="99"/>
    <w:semiHidden/>
    <w:unhideWhenUsed/>
    <w:rsid w:val="007B3007"/>
    <w:rPr>
      <w:color w:val="954F72" w:themeColor="followedHyperlink"/>
      <w:u w:val="single"/>
    </w:rPr>
  </w:style>
  <w:style w:type="paragraph" w:styleId="BalloonText">
    <w:name w:val="Balloon Text"/>
    <w:basedOn w:val="Normal"/>
    <w:link w:val="BalloonTextChar"/>
    <w:uiPriority w:val="99"/>
    <w:semiHidden/>
    <w:unhideWhenUsed/>
    <w:rsid w:val="00274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8E1"/>
    <w:rPr>
      <w:rFonts w:ascii="Segoe UI" w:hAnsi="Segoe UI" w:cs="Segoe UI"/>
      <w:sz w:val="18"/>
      <w:szCs w:val="18"/>
    </w:rPr>
  </w:style>
  <w:style w:type="character" w:styleId="CommentReference">
    <w:name w:val="annotation reference"/>
    <w:basedOn w:val="DefaultParagraphFont"/>
    <w:uiPriority w:val="99"/>
    <w:semiHidden/>
    <w:unhideWhenUsed/>
    <w:rsid w:val="001F7D6C"/>
    <w:rPr>
      <w:sz w:val="16"/>
      <w:szCs w:val="16"/>
    </w:rPr>
  </w:style>
  <w:style w:type="paragraph" w:styleId="CommentText">
    <w:name w:val="annotation text"/>
    <w:basedOn w:val="Normal"/>
    <w:link w:val="CommentTextChar"/>
    <w:uiPriority w:val="99"/>
    <w:semiHidden/>
    <w:unhideWhenUsed/>
    <w:rsid w:val="001F7D6C"/>
    <w:pPr>
      <w:spacing w:line="240" w:lineRule="auto"/>
    </w:pPr>
    <w:rPr>
      <w:sz w:val="20"/>
      <w:szCs w:val="20"/>
    </w:rPr>
  </w:style>
  <w:style w:type="character" w:customStyle="1" w:styleId="CommentTextChar">
    <w:name w:val="Comment Text Char"/>
    <w:basedOn w:val="DefaultParagraphFont"/>
    <w:link w:val="CommentText"/>
    <w:uiPriority w:val="99"/>
    <w:semiHidden/>
    <w:rsid w:val="001F7D6C"/>
    <w:rPr>
      <w:sz w:val="20"/>
      <w:szCs w:val="20"/>
    </w:rPr>
  </w:style>
  <w:style w:type="paragraph" w:styleId="CommentSubject">
    <w:name w:val="annotation subject"/>
    <w:basedOn w:val="CommentText"/>
    <w:next w:val="CommentText"/>
    <w:link w:val="CommentSubjectChar"/>
    <w:uiPriority w:val="99"/>
    <w:semiHidden/>
    <w:unhideWhenUsed/>
    <w:rsid w:val="001F7D6C"/>
    <w:rPr>
      <w:b/>
      <w:bCs/>
    </w:rPr>
  </w:style>
  <w:style w:type="character" w:customStyle="1" w:styleId="CommentSubjectChar">
    <w:name w:val="Comment Subject Char"/>
    <w:basedOn w:val="CommentTextChar"/>
    <w:link w:val="CommentSubject"/>
    <w:uiPriority w:val="99"/>
    <w:semiHidden/>
    <w:rsid w:val="001F7D6C"/>
    <w:rPr>
      <w:b/>
      <w:bCs/>
      <w:sz w:val="20"/>
      <w:szCs w:val="20"/>
    </w:rPr>
  </w:style>
  <w:style w:type="paragraph" w:customStyle="1" w:styleId="CoverHeading">
    <w:name w:val="Cover Heading"/>
    <w:next w:val="Normal"/>
    <w:link w:val="CoverHeadingChar"/>
    <w:qFormat/>
    <w:rsid w:val="00437630"/>
    <w:pPr>
      <w:spacing w:after="360" w:line="173" w:lineRule="auto"/>
    </w:pPr>
    <w:rPr>
      <w:rFonts w:ascii="Poppins" w:eastAsia="Times New Roman" w:hAnsi="Poppins" w:cs="Poppins"/>
      <w:b/>
      <w:bCs/>
      <w:color w:val="FFFFFF" w:themeColor="background1"/>
      <w:sz w:val="120"/>
      <w:szCs w:val="120"/>
      <w:lang w:eastAsia="en-GB"/>
    </w:rPr>
  </w:style>
  <w:style w:type="paragraph" w:customStyle="1" w:styleId="CoverSubheading">
    <w:name w:val="Cover Subheading"/>
    <w:next w:val="Normal"/>
    <w:link w:val="CoverSubheadingChar"/>
    <w:qFormat/>
    <w:rsid w:val="00437630"/>
    <w:pPr>
      <w:spacing w:after="240" w:line="192" w:lineRule="auto"/>
    </w:pPr>
    <w:rPr>
      <w:rFonts w:ascii="Poppins Medium" w:eastAsia="Times New Roman" w:hAnsi="Poppins Medium" w:cs="Poppins Medium"/>
      <w:color w:val="FFFFFF" w:themeColor="background1"/>
      <w:sz w:val="60"/>
      <w:szCs w:val="60"/>
      <w:lang w:eastAsia="en-GB"/>
    </w:rPr>
  </w:style>
  <w:style w:type="character" w:customStyle="1" w:styleId="CoverHeadingChar">
    <w:name w:val="Cover Heading Char"/>
    <w:basedOn w:val="DefaultParagraphFont"/>
    <w:link w:val="CoverHeading"/>
    <w:rsid w:val="00437630"/>
    <w:rPr>
      <w:rFonts w:ascii="Poppins" w:eastAsia="Times New Roman" w:hAnsi="Poppins" w:cs="Poppins"/>
      <w:b/>
      <w:bCs/>
      <w:color w:val="FFFFFF" w:themeColor="background1"/>
      <w:sz w:val="120"/>
      <w:szCs w:val="120"/>
      <w:lang w:eastAsia="en-GB"/>
    </w:rPr>
  </w:style>
  <w:style w:type="character" w:customStyle="1" w:styleId="CoverSubheadingChar">
    <w:name w:val="Cover Subheading Char"/>
    <w:basedOn w:val="DefaultParagraphFont"/>
    <w:link w:val="CoverSubheading"/>
    <w:rsid w:val="00437630"/>
    <w:rPr>
      <w:rFonts w:ascii="Poppins Medium" w:eastAsia="Times New Roman" w:hAnsi="Poppins Medium" w:cs="Poppins Medium"/>
      <w:color w:val="FFFFFF" w:themeColor="background1"/>
      <w:sz w:val="60"/>
      <w:szCs w:val="60"/>
      <w:lang w:eastAsia="en-GB"/>
    </w:rPr>
  </w:style>
  <w:style w:type="paragraph" w:customStyle="1" w:styleId="Cover-Details">
    <w:name w:val="Cover - Details"/>
    <w:next w:val="Normal"/>
    <w:link w:val="Cover-DetailsChar"/>
    <w:qFormat/>
    <w:rsid w:val="00437630"/>
    <w:pPr>
      <w:spacing w:after="0" w:line="240" w:lineRule="auto"/>
    </w:pPr>
    <w:rPr>
      <w:rFonts w:ascii="Poppins Medium" w:eastAsia="Times New Roman" w:hAnsi="Poppins Medium" w:cs="Poppins Medium"/>
      <w:color w:val="FFFFFF" w:themeColor="background1"/>
      <w:sz w:val="32"/>
      <w:szCs w:val="32"/>
      <w:lang w:eastAsia="en-GB"/>
    </w:rPr>
  </w:style>
  <w:style w:type="character" w:customStyle="1" w:styleId="Cover-DetailsChar">
    <w:name w:val="Cover - Details Char"/>
    <w:basedOn w:val="CoverSubheadingChar"/>
    <w:link w:val="Cover-Details"/>
    <w:rsid w:val="00437630"/>
    <w:rPr>
      <w:rFonts w:ascii="Poppins Medium" w:eastAsia="Times New Roman" w:hAnsi="Poppins Medium" w:cs="Poppins Medium"/>
      <w:color w:val="FFFFFF" w:themeColor="background1"/>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yclescheme.co.uk/" TargetMode="External"/><Relationship Id="rId18" Type="http://schemas.openxmlformats.org/officeDocument/2006/relationships/hyperlink" Target="https://www.gov.uk/government/publications/cycle-to-work-scheme-implementation-guidanc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app.employeebenefitschoice.com/login?utm_source=knowledge-base&amp;utm_medium=web-link&amp;utm_campaign=what-is-mycyclescheme-ee" TargetMode="External"/><Relationship Id="rId2" Type="http://schemas.openxmlformats.org/officeDocument/2006/relationships/customXml" Target="../customXml/item2.xml"/><Relationship Id="rId16" Type="http://schemas.openxmlformats.org/officeDocument/2006/relationships/hyperlink" Target="https://www.cyclescheme.co.uk/employers/benefits/bikmo" TargetMode="External"/><Relationship Id="rId20" Type="http://schemas.openxmlformats.org/officeDocument/2006/relationships/hyperlink" Target="https://www.cyclescheme.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yclescheme.co.uk/retailer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contact-hmr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yclescheme.co.uk/calculator?gclid=CjwKCAiAtK79BRAIEiwA4OskBmFm5JLgeil4YFc3ZKeWj78Gf-8HH97D6sOqIurpSHUHo7odqbZjFRoC7dgQAvD_Bw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Atwal, Navi</DisplayName>
        <AccountId>386</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510800</shClientID>
    <shClientName xmlns="00a5584b-47ac-4283-baa1-0b8b09c17407">The Open University (P/O FIN 362479)</shClientName>
    <shMatterID xmlns="00a5584b-47ac-4283-baa1-0b8b09c17407">M-00110929</shMatterID>
    <shMatterName xmlns="00a5584b-47ac-4283-baa1-0b8b09c17407">General Employment Advice (11)</shMatterName>
    <Set_x0020_Effective_x0020_Date xmlns="00a5584b-47ac-4283-baa1-0b8b09c17407" xsi:nil="true"/>
    <shDocumentStatus xmlns="00a5584b-47ac-4283-baa1-0b8b09c17407">Draft</shDocumentStatus>
    <_dlc_DocId xmlns="c0b91b7c-b56d-48a2-9371-3d2c405a48be">510800-447945850-5762</_dlc_DocId>
    <_dlc_DocIdUrl xmlns="c0b91b7c-b56d-48a2-9371-3d2c405a48be">
      <Url>https://shoosmiths.sharepoint.com/sites/510800/M-00110929/_layouts/15/DocIdRedir.aspx?ID=510800-447945850-5762</Url>
      <Description>510800-447945850-5762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837ee81b-4089-4778-b69b-71c0eb1b7465" ContentTypeId="0x01010061CCE89BF269CC4A9D50ADCE48FB8B6D01" PreviousValue="false"/>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628FA5243E0B2B48B8F2DB7A59FF9A7A" ma:contentTypeVersion="17" ma:contentTypeDescription="" ma:contentTypeScope="" ma:versionID="e578fa1303a2874da69bb802e66012d3">
  <xsd:schema xmlns:xsd="http://www.w3.org/2001/XMLSchema" xmlns:xs="http://www.w3.org/2001/XMLSchema" xmlns:p="http://schemas.microsoft.com/office/2006/metadata/properties" xmlns:ns2="00a5584b-47ac-4283-baa1-0b8b09c17407" xmlns:ns3="c0b91b7c-b56d-48a2-9371-3d2c405a48be" targetNamespace="http://schemas.microsoft.com/office/2006/metadata/properties" ma:root="true" ma:fieldsID="5fb36f8746121c213452eb0d4212bcdf" ns2:_="" ns3:_="">
    <xsd:import namespace="00a5584b-47ac-4283-baa1-0b8b09c17407"/>
    <xsd:import namespace="c0b91b7c-b56d-48a2-9371-3d2c405a48be"/>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ternalName="mvReceivedTime">
      <xsd:simpleType>
        <xsd:restriction base="dms:DateTime"/>
      </xsd:simpleType>
    </xsd:element>
    <xsd:element name="shClientID" ma:index="14" nillable="true" ma:displayName="Client ID" ma:default="510800" ma:internalName="shClientID">
      <xsd:simpleType>
        <xsd:restriction base="dms:Text">
          <xsd:maxLength value="255"/>
        </xsd:restriction>
      </xsd:simpleType>
    </xsd:element>
    <xsd:element name="shClientName" ma:index="15" nillable="true" ma:displayName="Client Name" ma:default="The Open University (P/O FIN 362479)" ma:internalName="shClientName">
      <xsd:simpleType>
        <xsd:restriction base="dms:Text">
          <xsd:maxLength value="255"/>
        </xsd:restriction>
      </xsd:simpleType>
    </xsd:element>
    <xsd:element name="shMatterID" ma:index="16" nillable="true" ma:displayName="Matter ID" ma:default="M-00110929" ma:internalName="shMatterID">
      <xsd:simpleType>
        <xsd:restriction base="dms:Text">
          <xsd:maxLength value="255"/>
        </xsd:restriction>
      </xsd:simpleType>
    </xsd:element>
    <xsd:element name="shMatterName" ma:index="17" nillable="true" ma:displayName="Matter Name" ma:default="General Employment Advice (11)"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c0b91b7c-b56d-48a2-9371-3d2c405a48be"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780423-E3C1-4797-AA03-0A4B8F374E9C}">
  <ds:schemaRefs>
    <ds:schemaRef ds:uri="c0b91b7c-b56d-48a2-9371-3d2c405a48be"/>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00a5584b-47ac-4283-baa1-0b8b09c1740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FEC6D78-D7EF-40CB-B11E-2CC93F22FCED}">
  <ds:schemaRefs>
    <ds:schemaRef ds:uri="http://schemas.microsoft.com/sharepoint/v3/contenttype/forms"/>
  </ds:schemaRefs>
</ds:datastoreItem>
</file>

<file path=customXml/itemProps3.xml><?xml version="1.0" encoding="utf-8"?>
<ds:datastoreItem xmlns:ds="http://schemas.openxmlformats.org/officeDocument/2006/customXml" ds:itemID="{1A799B8A-2D6D-4ABB-B9EC-6EA852872CC6}">
  <ds:schemaRefs>
    <ds:schemaRef ds:uri="http://schemas.microsoft.com/sharepoint/events"/>
  </ds:schemaRefs>
</ds:datastoreItem>
</file>

<file path=customXml/itemProps4.xml><?xml version="1.0" encoding="utf-8"?>
<ds:datastoreItem xmlns:ds="http://schemas.openxmlformats.org/officeDocument/2006/customXml" ds:itemID="{34611B31-1ADA-41D4-8C14-2195A0A0A4D5}">
  <ds:schemaRefs>
    <ds:schemaRef ds:uri="Microsoft.SharePoint.Taxonomy.ContentTypeSync"/>
  </ds:schemaRefs>
</ds:datastoreItem>
</file>

<file path=customXml/itemProps5.xml><?xml version="1.0" encoding="utf-8"?>
<ds:datastoreItem xmlns:ds="http://schemas.openxmlformats.org/officeDocument/2006/customXml" ds:itemID="{FA153E58-ECF0-4108-8191-730C518ED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c0b91b7c-b56d-48a2-9371-3d2c405a4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2084</Words>
  <Characters>11884</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2023-05-09T13:08:00Z</dcterms:created>
  <dcterms:modified xsi:type="dcterms:W3CDTF">2023-05-09T13:08:00Z</dcterms:modified>
</cp:coreProperties>
</file>