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00A6F" w14:textId="1228E43D" w:rsidR="00145E94" w:rsidRDefault="008252F2" w:rsidP="008252F2">
      <w:pPr>
        <w:pStyle w:val="Logo"/>
        <w:tabs>
          <w:tab w:val="left" w:pos="2235"/>
          <w:tab w:val="center" w:pos="5240"/>
        </w:tabs>
        <w:spacing w:after="240"/>
        <w:ind w:left="2160"/>
        <w:rPr>
          <w:b/>
        </w:rPr>
      </w:pPr>
      <w:r w:rsidRPr="00B95611">
        <w:rPr>
          <w:noProof/>
          <w:lang w:eastAsia="en-GB"/>
        </w:rPr>
        <w:drawing>
          <wp:anchor distT="0" distB="0" distL="114300" distR="114300" simplePos="0" relativeHeight="251660288" behindDoc="0" locked="0" layoutInCell="1" allowOverlap="1" wp14:anchorId="3F3267F8" wp14:editId="68D0B1CD">
            <wp:simplePos x="0" y="0"/>
            <wp:positionH relativeFrom="margin">
              <wp:posOffset>5242560</wp:posOffset>
            </wp:positionH>
            <wp:positionV relativeFrom="page">
              <wp:posOffset>328930</wp:posOffset>
            </wp:positionV>
            <wp:extent cx="1047600" cy="720000"/>
            <wp:effectExtent l="0" t="0" r="635" b="4445"/>
            <wp:wrapNone/>
            <wp:docPr id="73" name="Picture 73" descr="C:\Users\james.austin\Desktop\OU_Logo_Dark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austin\Desktop\OU_Logo_Dark_Blu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6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6FA4" w:rsidRPr="5BDDFA66">
        <w:rPr>
          <w:b/>
          <w:bCs/>
        </w:rPr>
        <w:t xml:space="preserve">  </w:t>
      </w:r>
      <w:r w:rsidR="002D07FA">
        <w:rPr>
          <w:b/>
        </w:rPr>
        <w:tab/>
      </w:r>
      <w:r w:rsidR="002D07FA">
        <w:rPr>
          <w:b/>
        </w:rPr>
        <w:tab/>
      </w:r>
    </w:p>
    <w:p w14:paraId="387ECCE6" w14:textId="77777777" w:rsidR="00503762" w:rsidRDefault="00503762" w:rsidP="00503762">
      <w:pPr>
        <w:widowControl/>
        <w:adjustRightInd w:val="0"/>
        <w:rPr>
          <w:rFonts w:asciiTheme="minorHAnsi" w:eastAsiaTheme="minorHAnsi" w:hAnsiTheme="minorHAnsi" w:cs="OpenSans-Semibold"/>
          <w:b/>
          <w:color w:val="3668B3"/>
          <w:sz w:val="32"/>
          <w:szCs w:val="32"/>
          <w:lang w:eastAsia="en-US" w:bidi="ar-SA"/>
        </w:rPr>
      </w:pPr>
      <w:bookmarkStart w:id="0" w:name="Text12"/>
      <w:bookmarkEnd w:id="0"/>
    </w:p>
    <w:p w14:paraId="23818337" w14:textId="7198B45C" w:rsidR="00EA43D0" w:rsidRPr="00503762" w:rsidRDefault="00A1626B" w:rsidP="008252F2">
      <w:pPr>
        <w:widowControl/>
        <w:adjustRightInd w:val="0"/>
        <w:rPr>
          <w:rFonts w:asciiTheme="minorHAnsi" w:eastAsiaTheme="minorHAnsi" w:hAnsiTheme="minorHAnsi" w:cs="OpenSans-Semibold"/>
          <w:b/>
          <w:color w:val="3668B3"/>
          <w:sz w:val="32"/>
          <w:szCs w:val="32"/>
          <w:lang w:eastAsia="en-US" w:bidi="ar-SA"/>
        </w:rPr>
      </w:pPr>
      <w:r w:rsidRPr="00503762">
        <w:rPr>
          <w:rFonts w:asciiTheme="minorHAnsi" w:eastAsiaTheme="minorHAnsi" w:hAnsiTheme="minorHAnsi" w:cs="OpenSans-Semibold"/>
          <w:b/>
          <w:color w:val="3668B3"/>
          <w:sz w:val="32"/>
          <w:szCs w:val="32"/>
          <w:lang w:eastAsia="en-US" w:bidi="ar-SA"/>
        </w:rPr>
        <w:t>Annual</w:t>
      </w:r>
      <w:r w:rsidR="004D3891" w:rsidRPr="00503762">
        <w:rPr>
          <w:rFonts w:asciiTheme="minorHAnsi" w:eastAsiaTheme="minorHAnsi" w:hAnsiTheme="minorHAnsi" w:cs="OpenSans-Semibold"/>
          <w:b/>
          <w:color w:val="3668B3"/>
          <w:sz w:val="32"/>
          <w:szCs w:val="32"/>
          <w:lang w:eastAsia="en-US" w:bidi="ar-SA"/>
        </w:rPr>
        <w:t xml:space="preserve"> Remuneration Report</w:t>
      </w:r>
      <w:r w:rsidRPr="00503762">
        <w:rPr>
          <w:rFonts w:asciiTheme="minorHAnsi" w:eastAsiaTheme="minorHAnsi" w:hAnsiTheme="minorHAnsi" w:cs="OpenSans-Semibold"/>
          <w:b/>
          <w:color w:val="3668B3"/>
          <w:sz w:val="32"/>
          <w:szCs w:val="32"/>
          <w:lang w:eastAsia="en-US" w:bidi="ar-SA"/>
        </w:rPr>
        <w:t xml:space="preserve"> for </w:t>
      </w:r>
      <w:r w:rsidR="00503762">
        <w:rPr>
          <w:rFonts w:asciiTheme="minorHAnsi" w:eastAsiaTheme="minorHAnsi" w:hAnsiTheme="minorHAnsi" w:cs="OpenSans-Semibold"/>
          <w:b/>
          <w:color w:val="3668B3"/>
          <w:sz w:val="32"/>
          <w:szCs w:val="32"/>
          <w:lang w:eastAsia="en-US" w:bidi="ar-SA"/>
        </w:rPr>
        <w:t>20</w:t>
      </w:r>
      <w:r w:rsidR="000D7BFC">
        <w:rPr>
          <w:rFonts w:asciiTheme="minorHAnsi" w:eastAsiaTheme="minorHAnsi" w:hAnsiTheme="minorHAnsi" w:cs="OpenSans-Semibold"/>
          <w:b/>
          <w:color w:val="3668B3"/>
          <w:sz w:val="32"/>
          <w:szCs w:val="32"/>
          <w:lang w:eastAsia="en-US" w:bidi="ar-SA"/>
        </w:rPr>
        <w:t>2</w:t>
      </w:r>
      <w:r w:rsidR="00392C9B">
        <w:rPr>
          <w:rFonts w:asciiTheme="minorHAnsi" w:eastAsiaTheme="minorHAnsi" w:hAnsiTheme="minorHAnsi" w:cs="OpenSans-Semibold"/>
          <w:b/>
          <w:color w:val="3668B3"/>
          <w:sz w:val="32"/>
          <w:szCs w:val="32"/>
          <w:lang w:eastAsia="en-US" w:bidi="ar-SA"/>
        </w:rPr>
        <w:t>1</w:t>
      </w:r>
      <w:r w:rsidR="00503762">
        <w:rPr>
          <w:rFonts w:asciiTheme="minorHAnsi" w:eastAsiaTheme="minorHAnsi" w:hAnsiTheme="minorHAnsi" w:cs="OpenSans-Semibold"/>
          <w:b/>
          <w:color w:val="3668B3"/>
          <w:sz w:val="32"/>
          <w:szCs w:val="32"/>
          <w:lang w:eastAsia="en-US" w:bidi="ar-SA"/>
        </w:rPr>
        <w:t>/</w:t>
      </w:r>
      <w:r w:rsidRPr="00503762">
        <w:rPr>
          <w:rFonts w:asciiTheme="minorHAnsi" w:eastAsiaTheme="minorHAnsi" w:hAnsiTheme="minorHAnsi" w:cs="OpenSans-Semibold"/>
          <w:b/>
          <w:color w:val="3668B3"/>
          <w:sz w:val="32"/>
          <w:szCs w:val="32"/>
          <w:lang w:eastAsia="en-US" w:bidi="ar-SA"/>
        </w:rPr>
        <w:t>202</w:t>
      </w:r>
      <w:r w:rsidR="00392C9B">
        <w:rPr>
          <w:rFonts w:asciiTheme="minorHAnsi" w:eastAsiaTheme="minorHAnsi" w:hAnsiTheme="minorHAnsi" w:cs="OpenSans-Semibold"/>
          <w:b/>
          <w:color w:val="3668B3"/>
          <w:sz w:val="32"/>
          <w:szCs w:val="32"/>
          <w:lang w:eastAsia="en-US" w:bidi="ar-SA"/>
        </w:rPr>
        <w:t>2</w:t>
      </w:r>
    </w:p>
    <w:p w14:paraId="779F0460" w14:textId="77777777" w:rsidR="00503762" w:rsidRDefault="00503762" w:rsidP="00503762">
      <w:pPr>
        <w:widowControl/>
        <w:adjustRightInd w:val="0"/>
        <w:rPr>
          <w:rFonts w:asciiTheme="minorHAnsi" w:eastAsiaTheme="minorHAnsi" w:hAnsiTheme="minorHAnsi" w:cs="OpenSans-Semibold"/>
          <w:b/>
          <w:color w:val="3668B3"/>
          <w:sz w:val="32"/>
          <w:szCs w:val="32"/>
          <w:lang w:eastAsia="en-US" w:bidi="ar-SA"/>
        </w:rPr>
      </w:pPr>
      <w:bookmarkStart w:id="1" w:name="Text13"/>
    </w:p>
    <w:p w14:paraId="3E983E01" w14:textId="4E80BA42" w:rsidR="004B1F7B" w:rsidRDefault="00503762" w:rsidP="00503762">
      <w:pPr>
        <w:widowControl/>
        <w:adjustRightInd w:val="0"/>
        <w:rPr>
          <w:rFonts w:asciiTheme="minorHAnsi" w:eastAsiaTheme="minorHAnsi" w:hAnsiTheme="minorHAnsi" w:cs="OpenSans-Semibold"/>
          <w:b/>
          <w:color w:val="3668B3"/>
          <w:sz w:val="32"/>
          <w:szCs w:val="32"/>
          <w:lang w:eastAsia="en-US" w:bidi="ar-SA"/>
        </w:rPr>
      </w:pPr>
      <w:r>
        <w:rPr>
          <w:rFonts w:asciiTheme="minorHAnsi" w:eastAsiaTheme="minorHAnsi" w:hAnsiTheme="minorHAnsi" w:cs="OpenSans-Semibold"/>
          <w:b/>
          <w:color w:val="3668B3"/>
          <w:sz w:val="32"/>
          <w:szCs w:val="32"/>
          <w:lang w:eastAsia="en-US" w:bidi="ar-SA"/>
        </w:rPr>
        <w:t>I</w:t>
      </w:r>
      <w:r w:rsidR="004B1F7B" w:rsidRPr="00503762">
        <w:rPr>
          <w:rFonts w:asciiTheme="minorHAnsi" w:eastAsiaTheme="minorHAnsi" w:hAnsiTheme="minorHAnsi" w:cs="OpenSans-Semibold"/>
          <w:b/>
          <w:color w:val="3668B3"/>
          <w:sz w:val="32"/>
          <w:szCs w:val="32"/>
          <w:lang w:eastAsia="en-US" w:bidi="ar-SA"/>
        </w:rPr>
        <w:t>ntroduction</w:t>
      </w:r>
    </w:p>
    <w:p w14:paraId="3B76445A" w14:textId="77777777" w:rsidR="00503762" w:rsidRPr="008252F2" w:rsidRDefault="00503762" w:rsidP="008252F2">
      <w:pPr>
        <w:adjustRightInd w:val="0"/>
        <w:rPr>
          <w:color w:val="231F20"/>
        </w:rPr>
      </w:pPr>
    </w:p>
    <w:p w14:paraId="12BF3815" w14:textId="77777777" w:rsidR="007B5DCC" w:rsidRPr="0046049A" w:rsidRDefault="007B5DCC" w:rsidP="007B5DCC">
      <w:pPr>
        <w:pStyle w:val="Papertext"/>
        <w:numPr>
          <w:ilvl w:val="0"/>
          <w:numId w:val="13"/>
        </w:numPr>
        <w:ind w:left="851" w:hanging="851"/>
        <w:rPr>
          <w:color w:val="auto"/>
        </w:rPr>
      </w:pPr>
      <w:r w:rsidRPr="0046049A">
        <w:rPr>
          <w:color w:val="auto"/>
        </w:rPr>
        <w:t>The Remuneration Committee operates under delegated powers of the Council. In terms of the annual senior staff pay review its remit is to consider and approve merit awards and discretionary increases for all staff earning over £100k in the OU group, including the Vice-Chancellor (VC) and the Vice-Chancellor’s Executive (VCE).</w:t>
      </w:r>
    </w:p>
    <w:p w14:paraId="7EB60345" w14:textId="77777777" w:rsidR="007B5DCC" w:rsidRPr="0046049A" w:rsidRDefault="007B5DCC" w:rsidP="007B5DCC">
      <w:pPr>
        <w:pStyle w:val="Papertext"/>
        <w:numPr>
          <w:ilvl w:val="0"/>
          <w:numId w:val="13"/>
        </w:numPr>
        <w:ind w:left="851" w:hanging="851"/>
        <w:rPr>
          <w:color w:val="auto"/>
        </w:rPr>
      </w:pPr>
      <w:r w:rsidRPr="0046049A">
        <w:rPr>
          <w:color w:val="auto"/>
        </w:rPr>
        <w:t>The Higher Education Senior Staff Remuneration Code requires a Remuneration Annual Report to be presented to the institution’s governing body.</w:t>
      </w:r>
    </w:p>
    <w:p w14:paraId="2ADFC1C5" w14:textId="369BBAFE" w:rsidR="004B1F7B" w:rsidRDefault="004B1F7B" w:rsidP="00503762">
      <w:pPr>
        <w:widowControl/>
        <w:adjustRightInd w:val="0"/>
        <w:rPr>
          <w:rFonts w:asciiTheme="minorHAnsi" w:eastAsiaTheme="minorHAnsi" w:hAnsiTheme="minorHAnsi" w:cs="OpenSans-Semibold"/>
          <w:b/>
          <w:color w:val="3668B3"/>
          <w:sz w:val="32"/>
          <w:szCs w:val="32"/>
          <w:lang w:eastAsia="en-US" w:bidi="ar-SA"/>
        </w:rPr>
      </w:pPr>
      <w:r w:rsidRPr="00503762">
        <w:rPr>
          <w:rFonts w:asciiTheme="minorHAnsi" w:eastAsiaTheme="minorHAnsi" w:hAnsiTheme="minorHAnsi" w:cs="OpenSans-Semibold"/>
          <w:b/>
          <w:color w:val="3668B3"/>
          <w:sz w:val="32"/>
          <w:szCs w:val="32"/>
          <w:lang w:eastAsia="en-US" w:bidi="ar-SA"/>
        </w:rPr>
        <w:t xml:space="preserve">Terms of reference </w:t>
      </w:r>
    </w:p>
    <w:p w14:paraId="0F6162B7" w14:textId="77777777" w:rsidR="008252F2" w:rsidRPr="008252F2" w:rsidRDefault="008252F2" w:rsidP="008252F2">
      <w:pPr>
        <w:adjustRightInd w:val="0"/>
        <w:rPr>
          <w:color w:val="231F20"/>
        </w:rPr>
      </w:pPr>
    </w:p>
    <w:p w14:paraId="608057A2" w14:textId="2A445983" w:rsidR="007B5DCC" w:rsidRPr="0046049A" w:rsidRDefault="007B5DCC" w:rsidP="007B5DCC">
      <w:pPr>
        <w:pStyle w:val="Papertext"/>
        <w:numPr>
          <w:ilvl w:val="0"/>
          <w:numId w:val="13"/>
        </w:numPr>
        <w:ind w:left="851" w:hanging="851"/>
        <w:rPr>
          <w:color w:val="auto"/>
        </w:rPr>
      </w:pPr>
      <w:r w:rsidRPr="0046049A">
        <w:rPr>
          <w:color w:val="auto"/>
        </w:rPr>
        <w:t xml:space="preserve">This year the Remuneration Committee has reviewed the terms of reference as published on the University’s </w:t>
      </w:r>
      <w:hyperlink r:id="rId13" w:history="1">
        <w:r w:rsidRPr="0046049A">
          <w:rPr>
            <w:rStyle w:val="Hyperlink"/>
            <w:color w:val="auto"/>
          </w:rPr>
          <w:t>extern</w:t>
        </w:r>
        <w:r w:rsidRPr="0046049A">
          <w:rPr>
            <w:rStyle w:val="Hyperlink"/>
            <w:color w:val="auto"/>
          </w:rPr>
          <w:t>a</w:t>
        </w:r>
        <w:r w:rsidRPr="0046049A">
          <w:rPr>
            <w:rStyle w:val="Hyperlink"/>
            <w:color w:val="auto"/>
          </w:rPr>
          <w:t>l website</w:t>
        </w:r>
      </w:hyperlink>
      <w:r w:rsidR="00421823">
        <w:rPr>
          <w:color w:val="auto"/>
        </w:rPr>
        <w:t>. No adjustments were made.</w:t>
      </w:r>
    </w:p>
    <w:p w14:paraId="7C81A681" w14:textId="00EAE535" w:rsidR="004B1F7B" w:rsidRPr="00503762" w:rsidRDefault="00503762" w:rsidP="00503762">
      <w:pPr>
        <w:widowControl/>
        <w:adjustRightInd w:val="0"/>
        <w:rPr>
          <w:rFonts w:asciiTheme="minorHAnsi" w:eastAsiaTheme="minorHAnsi" w:hAnsiTheme="minorHAnsi" w:cs="OpenSans-Semibold"/>
          <w:b/>
          <w:color w:val="3668B3"/>
          <w:sz w:val="32"/>
          <w:szCs w:val="32"/>
          <w:lang w:eastAsia="en-US" w:bidi="ar-SA"/>
        </w:rPr>
      </w:pPr>
      <w:r w:rsidRPr="00503762">
        <w:rPr>
          <w:rFonts w:asciiTheme="minorHAnsi" w:eastAsiaTheme="minorHAnsi" w:hAnsiTheme="minorHAnsi" w:cs="OpenSans-Semibold"/>
          <w:b/>
          <w:color w:val="3668B3"/>
          <w:sz w:val="32"/>
          <w:szCs w:val="32"/>
          <w:lang w:eastAsia="en-US" w:bidi="ar-SA"/>
        </w:rPr>
        <w:t xml:space="preserve">Institutional performance &amp; strategic objectives </w:t>
      </w:r>
    </w:p>
    <w:p w14:paraId="14DDA2FE" w14:textId="77777777" w:rsidR="004B1F7B" w:rsidRDefault="004B1F7B" w:rsidP="004B1F7B">
      <w:pPr>
        <w:adjustRightInd w:val="0"/>
        <w:rPr>
          <w:color w:val="231F20"/>
        </w:rPr>
      </w:pPr>
    </w:p>
    <w:p w14:paraId="24C1588F" w14:textId="77777777" w:rsidR="007B5DCC" w:rsidRPr="0046049A" w:rsidRDefault="007B5DCC" w:rsidP="007B5DCC">
      <w:pPr>
        <w:pStyle w:val="Papertext"/>
        <w:numPr>
          <w:ilvl w:val="0"/>
          <w:numId w:val="13"/>
        </w:numPr>
        <w:ind w:left="851" w:hanging="851"/>
        <w:rPr>
          <w:color w:val="auto"/>
        </w:rPr>
      </w:pPr>
      <w:r w:rsidRPr="0046049A">
        <w:rPr>
          <w:color w:val="auto"/>
        </w:rPr>
        <w:t xml:space="preserve">The context for determining senior pay includes reference to Institutional performance that includes five key strategic objectives; </w:t>
      </w:r>
    </w:p>
    <w:p w14:paraId="286F244B" w14:textId="77777777" w:rsidR="007B5DCC" w:rsidRPr="0046049A" w:rsidRDefault="007B5DCC" w:rsidP="007B5DCC">
      <w:pPr>
        <w:widowControl/>
        <w:numPr>
          <w:ilvl w:val="0"/>
          <w:numId w:val="18"/>
        </w:numPr>
        <w:adjustRightInd w:val="0"/>
      </w:pPr>
      <w:r w:rsidRPr="0046049A">
        <w:t>Student Success</w:t>
      </w:r>
    </w:p>
    <w:p w14:paraId="4AD00984" w14:textId="77777777" w:rsidR="007B5DCC" w:rsidRPr="0046049A" w:rsidRDefault="007B5DCC" w:rsidP="007B5DCC">
      <w:pPr>
        <w:widowControl/>
        <w:numPr>
          <w:ilvl w:val="0"/>
          <w:numId w:val="18"/>
        </w:numPr>
        <w:adjustRightInd w:val="0"/>
      </w:pPr>
      <w:r w:rsidRPr="0046049A">
        <w:t xml:space="preserve">Excellent teaching and research </w:t>
      </w:r>
    </w:p>
    <w:p w14:paraId="2A09F69B" w14:textId="77777777" w:rsidR="007B5DCC" w:rsidRPr="0046049A" w:rsidRDefault="007B5DCC" w:rsidP="007B5DCC">
      <w:pPr>
        <w:widowControl/>
        <w:numPr>
          <w:ilvl w:val="0"/>
          <w:numId w:val="18"/>
        </w:numPr>
        <w:adjustRightInd w:val="0"/>
      </w:pPr>
      <w:r w:rsidRPr="0046049A">
        <w:t xml:space="preserve">Growth and sustainability </w:t>
      </w:r>
    </w:p>
    <w:p w14:paraId="5B465021" w14:textId="77777777" w:rsidR="007B5DCC" w:rsidRPr="0046049A" w:rsidRDefault="007B5DCC" w:rsidP="007B5DCC">
      <w:pPr>
        <w:widowControl/>
        <w:numPr>
          <w:ilvl w:val="0"/>
          <w:numId w:val="18"/>
        </w:numPr>
        <w:adjustRightInd w:val="0"/>
      </w:pPr>
      <w:r w:rsidRPr="0046049A">
        <w:t xml:space="preserve">Technology that enables success </w:t>
      </w:r>
    </w:p>
    <w:p w14:paraId="77A42527" w14:textId="6F3231EA" w:rsidR="007B5DCC" w:rsidRDefault="007B5DCC" w:rsidP="007B5DCC">
      <w:pPr>
        <w:widowControl/>
        <w:numPr>
          <w:ilvl w:val="0"/>
          <w:numId w:val="18"/>
        </w:numPr>
        <w:adjustRightInd w:val="0"/>
      </w:pPr>
      <w:r w:rsidRPr="0046049A">
        <w:t>Dynamic and inclusive culture</w:t>
      </w:r>
    </w:p>
    <w:p w14:paraId="0D0986B8" w14:textId="77777777" w:rsidR="007B5DCC" w:rsidRPr="007B5DCC" w:rsidRDefault="007B5DCC" w:rsidP="007B5DCC">
      <w:pPr>
        <w:widowControl/>
        <w:adjustRightInd w:val="0"/>
        <w:ind w:left="1211"/>
      </w:pPr>
    </w:p>
    <w:p w14:paraId="4CB01E2A" w14:textId="51ECB69A" w:rsidR="004B1F7B" w:rsidRDefault="007B5DCC" w:rsidP="007B5DCC">
      <w:pPr>
        <w:pStyle w:val="Papertext"/>
        <w:numPr>
          <w:ilvl w:val="0"/>
          <w:numId w:val="13"/>
        </w:numPr>
        <w:ind w:left="851" w:hanging="851"/>
        <w:rPr>
          <w:color w:val="auto"/>
        </w:rPr>
      </w:pPr>
      <w:r w:rsidRPr="007B5DCC">
        <w:rPr>
          <w:color w:val="auto"/>
        </w:rPr>
        <w:t>These objectives have a further twelve headline measures aligned to them (</w:t>
      </w:r>
      <w:r w:rsidR="00421823" w:rsidRPr="0046049A">
        <w:rPr>
          <w:color w:val="auto"/>
        </w:rPr>
        <w:t>see the strategic Performance Report for full details</w:t>
      </w:r>
      <w:r w:rsidRPr="007B5DCC">
        <w:rPr>
          <w:color w:val="auto"/>
        </w:rPr>
        <w:t>)</w:t>
      </w:r>
      <w:r w:rsidR="00421823">
        <w:rPr>
          <w:color w:val="auto"/>
        </w:rPr>
        <w:t>.</w:t>
      </w:r>
    </w:p>
    <w:p w14:paraId="012607BE" w14:textId="05B29F15" w:rsidR="00421823" w:rsidRPr="007B5DCC" w:rsidRDefault="00421823" w:rsidP="007B5DCC">
      <w:pPr>
        <w:pStyle w:val="Papertext"/>
        <w:numPr>
          <w:ilvl w:val="0"/>
          <w:numId w:val="13"/>
        </w:numPr>
        <w:ind w:left="851" w:hanging="851"/>
        <w:rPr>
          <w:color w:val="auto"/>
        </w:rPr>
      </w:pPr>
      <w:r>
        <w:rPr>
          <w:color w:val="auto"/>
        </w:rPr>
        <w:t>The above strategic objectives have been replaced by five goals under the new University Strategy for 2022-2027.  As the recent senior pay review considers contribution during the 2021/2022 academic year the former objectives are still relevant to the process. Looking forward to the 2022/2023 senior pay review, the new University S</w:t>
      </w:r>
      <w:r w:rsidRPr="009B47DC">
        <w:rPr>
          <w:color w:val="auto"/>
        </w:rPr>
        <w:t>trategy will serve as the determining context and will be detailed in next year’s annual remuneration report.</w:t>
      </w:r>
    </w:p>
    <w:p w14:paraId="1B820B19" w14:textId="5F798A25" w:rsidR="004B1F7B" w:rsidRPr="00503762" w:rsidRDefault="004B1F7B" w:rsidP="00503762">
      <w:pPr>
        <w:widowControl/>
        <w:adjustRightInd w:val="0"/>
        <w:rPr>
          <w:rFonts w:asciiTheme="minorHAnsi" w:eastAsiaTheme="minorHAnsi" w:hAnsiTheme="minorHAnsi" w:cs="OpenSans-Semibold"/>
          <w:b/>
          <w:color w:val="3668B3"/>
          <w:sz w:val="32"/>
          <w:szCs w:val="32"/>
          <w:lang w:eastAsia="en-US" w:bidi="ar-SA"/>
        </w:rPr>
      </w:pPr>
      <w:r w:rsidRPr="00503762">
        <w:rPr>
          <w:rFonts w:asciiTheme="minorHAnsi" w:eastAsiaTheme="minorHAnsi" w:hAnsiTheme="minorHAnsi" w:cs="OpenSans-Semibold"/>
          <w:b/>
          <w:color w:val="3668B3"/>
          <w:sz w:val="32"/>
          <w:szCs w:val="32"/>
          <w:lang w:eastAsia="en-US" w:bidi="ar-SA"/>
        </w:rPr>
        <w:t>Approach to remuneration</w:t>
      </w:r>
    </w:p>
    <w:p w14:paraId="09B61E4C" w14:textId="2AB4F076" w:rsidR="00503762" w:rsidRPr="00503762" w:rsidRDefault="001C45A1" w:rsidP="004B1F7B">
      <w:pPr>
        <w:pStyle w:val="PaperItem"/>
        <w:rPr>
          <w:i/>
          <w:iCs/>
          <w:caps w:val="0"/>
        </w:rPr>
      </w:pPr>
      <w:r w:rsidRPr="00050476">
        <w:rPr>
          <w:i/>
          <w:iCs/>
          <w:caps w:val="0"/>
        </w:rPr>
        <w:t>Recruitment</w:t>
      </w:r>
    </w:p>
    <w:p w14:paraId="1673F296" w14:textId="06756268" w:rsidR="007B5DCC" w:rsidRPr="007A7271" w:rsidRDefault="007B5DCC" w:rsidP="007B5DCC">
      <w:pPr>
        <w:pStyle w:val="Papertext"/>
        <w:numPr>
          <w:ilvl w:val="0"/>
          <w:numId w:val="13"/>
        </w:numPr>
        <w:ind w:left="851" w:hanging="851"/>
        <w:rPr>
          <w:color w:val="auto"/>
        </w:rPr>
      </w:pPr>
      <w:bookmarkStart w:id="2" w:name="_Hlk85542903"/>
      <w:r w:rsidRPr="007A7271">
        <w:rPr>
          <w:color w:val="auto"/>
        </w:rPr>
        <w:t xml:space="preserve">When considering proposals for senior appointments with a total pay (excluding pension) above £100k, the Committee considers external market data, internal comparators and a business case before approval is given. </w:t>
      </w:r>
      <w:r w:rsidR="00421823" w:rsidRPr="007A7271">
        <w:rPr>
          <w:color w:val="auto"/>
        </w:rPr>
        <w:t>This process has been effective throughout the year</w:t>
      </w:r>
      <w:r w:rsidR="00421823">
        <w:rPr>
          <w:color w:val="auto"/>
        </w:rPr>
        <w:t xml:space="preserve"> with no candidates for a senior post withdrawing after they were offered the role.</w:t>
      </w:r>
    </w:p>
    <w:bookmarkEnd w:id="2"/>
    <w:p w14:paraId="596C5350" w14:textId="2E95262D" w:rsidR="00442619" w:rsidRPr="00442619" w:rsidRDefault="001C45A1" w:rsidP="00442619">
      <w:pPr>
        <w:pStyle w:val="PaperItem"/>
        <w:rPr>
          <w:i/>
          <w:iCs/>
        </w:rPr>
      </w:pPr>
      <w:r w:rsidRPr="00442619">
        <w:rPr>
          <w:i/>
          <w:iCs/>
          <w:caps w:val="0"/>
        </w:rPr>
        <w:t>Re</w:t>
      </w:r>
      <w:r>
        <w:rPr>
          <w:i/>
          <w:iCs/>
          <w:caps w:val="0"/>
        </w:rPr>
        <w:t xml:space="preserve">cognition &amp; retention </w:t>
      </w:r>
    </w:p>
    <w:p w14:paraId="15F47B88" w14:textId="770DD3B0" w:rsidR="00421823" w:rsidRPr="0046049A" w:rsidRDefault="00421823" w:rsidP="00421823">
      <w:pPr>
        <w:pStyle w:val="Papertext"/>
        <w:numPr>
          <w:ilvl w:val="0"/>
          <w:numId w:val="13"/>
        </w:numPr>
        <w:ind w:left="851" w:hanging="851"/>
        <w:rPr>
          <w:color w:val="auto"/>
        </w:rPr>
      </w:pPr>
      <w:r w:rsidRPr="0046049A">
        <w:rPr>
          <w:color w:val="auto"/>
        </w:rPr>
        <w:t xml:space="preserve">We reward, </w:t>
      </w:r>
      <w:r w:rsidRPr="0046049A">
        <w:rPr>
          <w:color w:val="auto"/>
        </w:rPr>
        <w:t>recognise,</w:t>
      </w:r>
      <w:r w:rsidRPr="0046049A">
        <w:rPr>
          <w:color w:val="auto"/>
        </w:rPr>
        <w:t xml:space="preserve"> and encourage high performance focused on</w:t>
      </w:r>
      <w:r>
        <w:rPr>
          <w:color w:val="auto"/>
        </w:rPr>
        <w:t xml:space="preserve"> </w:t>
      </w:r>
      <w:r>
        <w:rPr>
          <w:i/>
          <w:iCs/>
          <w:color w:val="auto"/>
        </w:rPr>
        <w:t xml:space="preserve">inter alia </w:t>
      </w:r>
      <w:r w:rsidRPr="0046049A">
        <w:rPr>
          <w:color w:val="auto"/>
        </w:rPr>
        <w:t xml:space="preserve">enabling our students to achieve their goals, and achieving high quality research. When reviewing </w:t>
      </w:r>
      <w:r w:rsidRPr="0046049A">
        <w:rPr>
          <w:color w:val="auto"/>
        </w:rPr>
        <w:lastRenderedPageBreak/>
        <w:t>proposals for salary increases and performance-related merit awards, the Committee considers the following factors:</w:t>
      </w:r>
    </w:p>
    <w:p w14:paraId="5F33E0A7" w14:textId="77777777" w:rsidR="00421823" w:rsidRPr="0046049A" w:rsidRDefault="00421823" w:rsidP="00421823">
      <w:pPr>
        <w:widowControl/>
        <w:numPr>
          <w:ilvl w:val="0"/>
          <w:numId w:val="16"/>
        </w:numPr>
        <w:adjustRightInd w:val="0"/>
      </w:pPr>
      <w:r>
        <w:rPr>
          <w:b/>
          <w:bCs/>
        </w:rPr>
        <w:t>Allocation of funds</w:t>
      </w:r>
      <w:r w:rsidRPr="0046049A">
        <w:t>: pay increases or one-off awards can only be made if the spend is within the maximum expenditure permitted.</w:t>
      </w:r>
      <w:r>
        <w:t xml:space="preserve">  At the request of the Committee, a cash limit on or pay allocation for the scheme was agreed for the 2021/22 scheme as 20% of the average spend for both merit awards and additional/discretionary increments for eligible senior staff.</w:t>
      </w:r>
    </w:p>
    <w:p w14:paraId="643E551C" w14:textId="77777777" w:rsidR="00421823" w:rsidRPr="0046049A" w:rsidRDefault="00421823" w:rsidP="00421823">
      <w:pPr>
        <w:adjustRightInd w:val="0"/>
        <w:ind w:left="1211"/>
        <w:rPr>
          <w:color w:val="FF0000"/>
        </w:rPr>
      </w:pPr>
    </w:p>
    <w:p w14:paraId="46540955" w14:textId="77777777" w:rsidR="00421823" w:rsidRPr="0046049A" w:rsidRDefault="00421823" w:rsidP="00421823">
      <w:pPr>
        <w:widowControl/>
        <w:numPr>
          <w:ilvl w:val="0"/>
          <w:numId w:val="16"/>
        </w:numPr>
        <w:adjustRightInd w:val="0"/>
      </w:pPr>
      <w:r w:rsidRPr="0046049A">
        <w:rPr>
          <w:b/>
          <w:bCs/>
        </w:rPr>
        <w:t>Contribution</w:t>
      </w:r>
      <w:r w:rsidRPr="0046049A">
        <w:t xml:space="preserve">: </w:t>
      </w:r>
    </w:p>
    <w:p w14:paraId="20F6ECE1" w14:textId="77777777" w:rsidR="00421823" w:rsidRPr="0046049A" w:rsidRDefault="00421823" w:rsidP="00421823">
      <w:pPr>
        <w:pStyle w:val="List20"/>
        <w:numPr>
          <w:ilvl w:val="2"/>
          <w:numId w:val="13"/>
        </w:numPr>
        <w:spacing w:after="120"/>
        <w:ind w:left="1985" w:hanging="567"/>
      </w:pPr>
      <w:r w:rsidRPr="0046049A">
        <w:t>Demonstrable exceptional performance that has a significant contribution to the University’s strategic objectives is rewarded through movement to a higher point on the salary scale.</w:t>
      </w:r>
    </w:p>
    <w:p w14:paraId="3BEA35E7" w14:textId="77777777" w:rsidR="00421823" w:rsidRPr="0046049A" w:rsidRDefault="00421823" w:rsidP="00421823">
      <w:pPr>
        <w:pStyle w:val="List20"/>
        <w:numPr>
          <w:ilvl w:val="2"/>
          <w:numId w:val="13"/>
        </w:numPr>
        <w:spacing w:after="120"/>
        <w:ind w:left="1985" w:hanging="567"/>
      </w:pPr>
      <w:r w:rsidRPr="0046049A">
        <w:t>Pay increases agreed for Band 3 professors and Band 5 academic-related staff may typically be equivalent to the incremental spinal points on lower bands of the appropriate scale. In exceptional circumstances, increases may be awarded above these points, where justified by an appropriate business case (</w:t>
      </w:r>
      <w:proofErr w:type="gramStart"/>
      <w:r w:rsidRPr="0046049A">
        <w:t>e.g.</w:t>
      </w:r>
      <w:proofErr w:type="gramEnd"/>
      <w:r w:rsidRPr="0046049A">
        <w:t xml:space="preserve"> market competitiveness).</w:t>
      </w:r>
    </w:p>
    <w:p w14:paraId="2322A14E" w14:textId="77777777" w:rsidR="00421823" w:rsidRPr="0046049A" w:rsidRDefault="00421823" w:rsidP="00421823">
      <w:pPr>
        <w:pStyle w:val="List20"/>
        <w:numPr>
          <w:ilvl w:val="2"/>
          <w:numId w:val="13"/>
        </w:numPr>
        <w:spacing w:after="120"/>
        <w:ind w:left="1985" w:hanging="567"/>
      </w:pPr>
      <w:r w:rsidRPr="0046049A">
        <w:t xml:space="preserve">One-off </w:t>
      </w:r>
      <w:r>
        <w:t xml:space="preserve">merit </w:t>
      </w:r>
      <w:r w:rsidRPr="0046049A">
        <w:t xml:space="preserve">awards are proportional to the time spent and the value or impact of the work. </w:t>
      </w:r>
    </w:p>
    <w:p w14:paraId="029304A2" w14:textId="77777777" w:rsidR="00421823" w:rsidRPr="0046049A" w:rsidRDefault="00421823" w:rsidP="00421823">
      <w:pPr>
        <w:widowControl/>
        <w:numPr>
          <w:ilvl w:val="0"/>
          <w:numId w:val="16"/>
        </w:numPr>
        <w:adjustRightInd w:val="0"/>
      </w:pPr>
      <w:r w:rsidRPr="0046049A">
        <w:rPr>
          <w:b/>
          <w:bCs/>
        </w:rPr>
        <w:t>Internal equity</w:t>
      </w:r>
      <w:r w:rsidRPr="0046049A">
        <w:t xml:space="preserve">: the average remuneration of other relevant roles is considered when reviewing proposals. </w:t>
      </w:r>
    </w:p>
    <w:p w14:paraId="5D255F6A" w14:textId="77777777" w:rsidR="00421823" w:rsidRPr="00A11C76" w:rsidRDefault="00421823" w:rsidP="00421823">
      <w:pPr>
        <w:widowControl/>
        <w:adjustRightInd w:val="0"/>
        <w:ind w:left="1211"/>
      </w:pPr>
    </w:p>
    <w:p w14:paraId="7DCA57EC" w14:textId="77777777" w:rsidR="00421823" w:rsidRPr="00A11C76" w:rsidRDefault="00421823" w:rsidP="00421823">
      <w:pPr>
        <w:widowControl/>
        <w:numPr>
          <w:ilvl w:val="0"/>
          <w:numId w:val="16"/>
        </w:numPr>
        <w:adjustRightInd w:val="0"/>
      </w:pPr>
      <w:r w:rsidRPr="00A11C76">
        <w:rPr>
          <w:b/>
          <w:bCs/>
        </w:rPr>
        <w:t>External market compensation data</w:t>
      </w:r>
      <w:r w:rsidRPr="00A11C76">
        <w:t>: a balanced approach of using both University and Colleges Employers Association (UCEA) and Willis Towers Watson (WTW) data is used. UCEA data continues to be the primary benchmark</w:t>
      </w:r>
      <w:r>
        <w:t xml:space="preserve">. </w:t>
      </w:r>
      <w:r w:rsidRPr="00A11C76">
        <w:t xml:space="preserve">WTW is used for specialist </w:t>
      </w:r>
      <w:r>
        <w:t>p</w:t>
      </w:r>
      <w:r w:rsidRPr="00A11C76">
        <w:t xml:space="preserve">rofessional </w:t>
      </w:r>
      <w:r>
        <w:t>s</w:t>
      </w:r>
      <w:r w:rsidRPr="00A11C76">
        <w:t xml:space="preserve">ervices’ roles as a secondary source to add additional context. Members </w:t>
      </w:r>
      <w:r>
        <w:t xml:space="preserve">consider </w:t>
      </w:r>
      <w:r w:rsidRPr="00A11C76">
        <w:t xml:space="preserve">the total </w:t>
      </w:r>
      <w:r>
        <w:t xml:space="preserve">remuneration </w:t>
      </w:r>
      <w:r w:rsidRPr="00A11C76">
        <w:t xml:space="preserve">package (including pension contribution), not just base salary, when reviewing compensation comparisons against the market. </w:t>
      </w:r>
    </w:p>
    <w:p w14:paraId="569BF796" w14:textId="77777777" w:rsidR="00421823" w:rsidRPr="00A11C76" w:rsidRDefault="00421823" w:rsidP="00421823">
      <w:pPr>
        <w:widowControl/>
        <w:adjustRightInd w:val="0"/>
        <w:ind w:left="1211"/>
        <w:rPr>
          <w:color w:val="FF0000"/>
        </w:rPr>
      </w:pPr>
    </w:p>
    <w:p w14:paraId="38762343" w14:textId="77777777" w:rsidR="00421823" w:rsidRPr="005C4B6B" w:rsidRDefault="00421823" w:rsidP="00421823">
      <w:pPr>
        <w:pStyle w:val="Papertext"/>
        <w:numPr>
          <w:ilvl w:val="0"/>
          <w:numId w:val="13"/>
        </w:numPr>
        <w:ind w:left="851" w:hanging="851"/>
        <w:rPr>
          <w:color w:val="auto"/>
        </w:rPr>
      </w:pPr>
      <w:r>
        <w:rPr>
          <w:color w:val="auto"/>
        </w:rPr>
        <w:t xml:space="preserve">At the request of Remuneration Committee, a definition of exceptional performance was agreed for the 2021/22 scheme. The short form of that definition:  </w:t>
      </w:r>
      <w:r w:rsidRPr="00FA319F">
        <w:rPr>
          <w:i/>
          <w:iCs/>
          <w:kern w:val="24"/>
        </w:rPr>
        <w:t xml:space="preserve">Exceptional performance is defined as exceeding what would normally be expected of the role across </w:t>
      </w:r>
      <w:proofErr w:type="gramStart"/>
      <w:r w:rsidRPr="00FA319F">
        <w:rPr>
          <w:i/>
          <w:iCs/>
          <w:kern w:val="24"/>
        </w:rPr>
        <w:t>all of</w:t>
      </w:r>
      <w:proofErr w:type="gramEnd"/>
      <w:r w:rsidRPr="00FA319F">
        <w:rPr>
          <w:i/>
          <w:iCs/>
          <w:kern w:val="24"/>
        </w:rPr>
        <w:t xml:space="preserve"> its responsibilities, and in a way that is exemplary when considered against the University’s behavioural expectations. It is reasonably anticipated that this level of performance will continue.</w:t>
      </w:r>
      <w:r>
        <w:rPr>
          <w:i/>
          <w:iCs/>
          <w:kern w:val="24"/>
        </w:rPr>
        <w:t xml:space="preserve">  </w:t>
      </w:r>
      <w:r>
        <w:rPr>
          <w:kern w:val="24"/>
        </w:rPr>
        <w:t>Other features of the scheme design were</w:t>
      </w:r>
      <w:r>
        <w:rPr>
          <w:color w:val="auto"/>
        </w:rPr>
        <w:t>:</w:t>
      </w:r>
    </w:p>
    <w:p w14:paraId="27339F27" w14:textId="77777777" w:rsidR="00421823" w:rsidRPr="005C4B6B" w:rsidRDefault="00421823" w:rsidP="00421823">
      <w:pPr>
        <w:widowControl/>
        <w:numPr>
          <w:ilvl w:val="0"/>
          <w:numId w:val="17"/>
        </w:numPr>
        <w:adjustRightInd w:val="0"/>
      </w:pPr>
      <w:r w:rsidRPr="00CF7E74">
        <w:rPr>
          <w:b/>
          <w:bCs/>
        </w:rPr>
        <w:t>Merit award</w:t>
      </w:r>
      <w:r>
        <w:rPr>
          <w:b/>
          <w:bCs/>
        </w:rPr>
        <w:t>s</w:t>
      </w:r>
      <w:r w:rsidRPr="00CF7E74">
        <w:rPr>
          <w:b/>
          <w:bCs/>
        </w:rPr>
        <w:t xml:space="preserve"> </w:t>
      </w:r>
      <w:r w:rsidRPr="005C4B6B">
        <w:t>– th</w:t>
      </w:r>
      <w:r>
        <w:t>e</w:t>
      </w:r>
      <w:r w:rsidRPr="005C4B6B">
        <w:t>s</w:t>
      </w:r>
      <w:r>
        <w:t>e</w:t>
      </w:r>
      <w:r w:rsidRPr="005C4B6B">
        <w:t xml:space="preserve"> </w:t>
      </w:r>
      <w:r>
        <w:t>are</w:t>
      </w:r>
      <w:r w:rsidRPr="005C4B6B">
        <w:t xml:space="preserve"> one-off award for individuals demonstrating</w:t>
      </w:r>
      <w:r>
        <w:t xml:space="preserve"> exceptional performance (as defined above), but in relation to the assessment of quality of shorter-term achievements which are not expected to continue</w:t>
      </w:r>
      <w:r w:rsidRPr="005C4B6B">
        <w:t xml:space="preserve">. </w:t>
      </w:r>
    </w:p>
    <w:p w14:paraId="026D5E88" w14:textId="77777777" w:rsidR="00421823" w:rsidRPr="00A135A1" w:rsidRDefault="00421823" w:rsidP="00421823">
      <w:pPr>
        <w:widowControl/>
        <w:numPr>
          <w:ilvl w:val="0"/>
          <w:numId w:val="17"/>
        </w:numPr>
        <w:adjustRightInd w:val="0"/>
      </w:pPr>
      <w:r w:rsidRPr="00A135A1">
        <w:rPr>
          <w:b/>
          <w:bCs/>
        </w:rPr>
        <w:t>Discretionary increments</w:t>
      </w:r>
      <w:r w:rsidRPr="00A135A1">
        <w:t xml:space="preserve">– </w:t>
      </w:r>
      <w:r>
        <w:t>i</w:t>
      </w:r>
      <w:r w:rsidRPr="00A135A1">
        <w:t xml:space="preserve">ncreases to base pay for senior staff who evidence sustained excellence over a substantial period or </w:t>
      </w:r>
      <w:proofErr w:type="gramStart"/>
      <w:r w:rsidRPr="00A135A1">
        <w:t>where</w:t>
      </w:r>
      <w:r>
        <w:t>;</w:t>
      </w:r>
      <w:proofErr w:type="gramEnd"/>
      <w:r w:rsidRPr="00A135A1">
        <w:t xml:space="preserve">  </w:t>
      </w:r>
    </w:p>
    <w:p w14:paraId="38D04632" w14:textId="77777777" w:rsidR="00421823" w:rsidRPr="00A135A1" w:rsidRDefault="00421823" w:rsidP="00421823">
      <w:pPr>
        <w:widowControl/>
        <w:numPr>
          <w:ilvl w:val="0"/>
          <w:numId w:val="22"/>
        </w:numPr>
        <w:adjustRightInd w:val="0"/>
      </w:pPr>
      <w:r w:rsidRPr="00A135A1">
        <w:t xml:space="preserve">An individual’s pay was agreed earlier in the year with implementation of an increase deferred to the annual pay review period. </w:t>
      </w:r>
    </w:p>
    <w:p w14:paraId="2921CE40" w14:textId="77777777" w:rsidR="00421823" w:rsidRPr="00A135A1" w:rsidRDefault="00421823" w:rsidP="00421823">
      <w:pPr>
        <w:widowControl/>
        <w:numPr>
          <w:ilvl w:val="0"/>
          <w:numId w:val="22"/>
        </w:numPr>
        <w:adjustRightInd w:val="0"/>
      </w:pPr>
      <w:r w:rsidRPr="00A135A1">
        <w:t xml:space="preserve">An individual’s role changed during the year and pay adjustments were deferred to the annual pay review period. </w:t>
      </w:r>
    </w:p>
    <w:p w14:paraId="10F22ED1" w14:textId="77777777" w:rsidR="00421823" w:rsidRPr="00A135A1" w:rsidRDefault="00421823" w:rsidP="00421823">
      <w:pPr>
        <w:widowControl/>
        <w:numPr>
          <w:ilvl w:val="0"/>
          <w:numId w:val="22"/>
        </w:numPr>
        <w:adjustRightInd w:val="0"/>
      </w:pPr>
      <w:r w:rsidRPr="00A135A1">
        <w:t>An individual’s pay required a review to address inequity.</w:t>
      </w:r>
    </w:p>
    <w:p w14:paraId="35FAB8EE" w14:textId="77777777" w:rsidR="00421823" w:rsidRPr="00EC7E9B" w:rsidRDefault="00421823" w:rsidP="00421823">
      <w:pPr>
        <w:widowControl/>
        <w:numPr>
          <w:ilvl w:val="0"/>
          <w:numId w:val="17"/>
        </w:numPr>
        <w:adjustRightInd w:val="0"/>
      </w:pPr>
      <w:r w:rsidRPr="0000187C">
        <w:rPr>
          <w:b/>
          <w:bCs/>
        </w:rPr>
        <w:t xml:space="preserve">Going the extra mile award scheme </w:t>
      </w:r>
      <w:r w:rsidRPr="00157333">
        <w:t>–</w:t>
      </w:r>
      <w:r>
        <w:t xml:space="preserve"> </w:t>
      </w:r>
      <w:r w:rsidRPr="00157333">
        <w:t>People Business Partners, in conjunction with the Head of Business Unit, continue to work in partnership to ensure the use of GEM Awards is fair, transparent, and equitable.</w:t>
      </w:r>
    </w:p>
    <w:p w14:paraId="09F41794" w14:textId="023887D3" w:rsidR="00C07674" w:rsidRDefault="00421823" w:rsidP="00C07674">
      <w:pPr>
        <w:widowControl/>
        <w:numPr>
          <w:ilvl w:val="0"/>
          <w:numId w:val="17"/>
        </w:numPr>
        <w:adjustRightInd w:val="0"/>
      </w:pPr>
      <w:r w:rsidRPr="00D1661D">
        <w:rPr>
          <w:b/>
          <w:bCs/>
        </w:rPr>
        <w:t>Cost of living award</w:t>
      </w:r>
      <w:r w:rsidRPr="00D1661D">
        <w:t xml:space="preserve"> – this is nationally agreed for all roles across the sector and for 202</w:t>
      </w:r>
      <w:r>
        <w:t>1</w:t>
      </w:r>
      <w:r w:rsidRPr="00D1661D">
        <w:t>/202</w:t>
      </w:r>
      <w:r>
        <w:t>2</w:t>
      </w:r>
      <w:r w:rsidRPr="00D1661D">
        <w:t xml:space="preserve"> a </w:t>
      </w:r>
      <w:r>
        <w:t>3</w:t>
      </w:r>
      <w:r w:rsidRPr="00D1661D">
        <w:t xml:space="preserve">% cost of living award has been implemented. Note that as </w:t>
      </w:r>
      <w:r>
        <w:t>of</w:t>
      </w:r>
      <w:r w:rsidRPr="00D1661D">
        <w:t xml:space="preserve"> 2</w:t>
      </w:r>
      <w:r>
        <w:t>4</w:t>
      </w:r>
      <w:r w:rsidRPr="00D1661D">
        <w:t xml:space="preserve"> October, </w:t>
      </w:r>
      <w:r>
        <w:t xml:space="preserve">UCU has balloted its members for strike action </w:t>
      </w:r>
      <w:proofErr w:type="gramStart"/>
      <w:r>
        <w:t>over pay</w:t>
      </w:r>
      <w:proofErr w:type="gramEnd"/>
      <w:r>
        <w:t xml:space="preserve"> and working conditions and pensions, and the ballot result is a majority in favour.</w:t>
      </w:r>
    </w:p>
    <w:p w14:paraId="61219C4D" w14:textId="19C0BF8E" w:rsidR="00C07674" w:rsidRPr="00C07674" w:rsidRDefault="00C07674" w:rsidP="00C07674">
      <w:pPr>
        <w:widowControl/>
        <w:adjustRightInd w:val="0"/>
      </w:pPr>
    </w:p>
    <w:p w14:paraId="22C4321D" w14:textId="77777777" w:rsidR="007B5DCC" w:rsidRDefault="007B5DCC" w:rsidP="00503762">
      <w:pPr>
        <w:widowControl/>
        <w:adjustRightInd w:val="0"/>
        <w:rPr>
          <w:rFonts w:asciiTheme="minorHAnsi" w:eastAsiaTheme="minorHAnsi" w:hAnsiTheme="minorHAnsi" w:cs="OpenSans-Semibold"/>
          <w:b/>
          <w:color w:val="3668B3"/>
          <w:sz w:val="32"/>
          <w:szCs w:val="32"/>
          <w:lang w:eastAsia="en-US" w:bidi="ar-SA"/>
        </w:rPr>
      </w:pPr>
    </w:p>
    <w:p w14:paraId="3D84354D" w14:textId="5CF8C690" w:rsidR="004B1F7B" w:rsidRPr="00C07674" w:rsidRDefault="00C07674" w:rsidP="00503762">
      <w:pPr>
        <w:widowControl/>
        <w:adjustRightInd w:val="0"/>
        <w:rPr>
          <w:rFonts w:asciiTheme="minorHAnsi" w:eastAsiaTheme="minorHAnsi" w:hAnsiTheme="minorHAnsi" w:cs="OpenSans-Semibold"/>
          <w:b/>
          <w:color w:val="3668B3"/>
          <w:sz w:val="32"/>
          <w:szCs w:val="32"/>
          <w:lang w:eastAsia="en-US" w:bidi="ar-SA"/>
        </w:rPr>
      </w:pPr>
      <w:r w:rsidRPr="00C07674">
        <w:rPr>
          <w:rFonts w:asciiTheme="minorHAnsi" w:eastAsiaTheme="minorHAnsi" w:hAnsiTheme="minorHAnsi" w:cs="OpenSans-Semibold"/>
          <w:b/>
          <w:color w:val="3668B3"/>
          <w:sz w:val="32"/>
          <w:szCs w:val="32"/>
          <w:lang w:eastAsia="en-US" w:bidi="ar-SA"/>
        </w:rPr>
        <w:t>Vice-chancellors</w:t>
      </w:r>
      <w:r w:rsidR="00503762" w:rsidRPr="00C07674">
        <w:rPr>
          <w:rFonts w:asciiTheme="minorHAnsi" w:eastAsiaTheme="minorHAnsi" w:hAnsiTheme="minorHAnsi" w:cs="OpenSans-Semibold"/>
          <w:b/>
          <w:color w:val="3668B3"/>
          <w:sz w:val="32"/>
          <w:szCs w:val="32"/>
          <w:lang w:eastAsia="en-US" w:bidi="ar-SA"/>
        </w:rPr>
        <w:t xml:space="preserve"> pay</w:t>
      </w:r>
    </w:p>
    <w:p w14:paraId="13FD98D3" w14:textId="77777777" w:rsidR="004B1F7B" w:rsidRPr="009423AF" w:rsidRDefault="004B1F7B" w:rsidP="004B1F7B">
      <w:pPr>
        <w:adjustRightInd w:val="0"/>
        <w:rPr>
          <w:color w:val="231F20"/>
        </w:rPr>
      </w:pPr>
    </w:p>
    <w:p w14:paraId="3933CF7F" w14:textId="77777777" w:rsidR="00421823" w:rsidRPr="00A11C76" w:rsidRDefault="00421823" w:rsidP="00421823">
      <w:pPr>
        <w:pStyle w:val="Papertext"/>
        <w:numPr>
          <w:ilvl w:val="0"/>
          <w:numId w:val="13"/>
        </w:numPr>
        <w:spacing w:after="120"/>
        <w:ind w:left="851" w:hanging="851"/>
        <w:rPr>
          <w:color w:val="auto"/>
        </w:rPr>
      </w:pPr>
      <w:r w:rsidRPr="00A11C76">
        <w:rPr>
          <w:color w:val="auto"/>
        </w:rPr>
        <w:t xml:space="preserve">The Committee recognises the complexities of benchmarking the OU against external market data. </w:t>
      </w:r>
      <w:r>
        <w:rPr>
          <w:color w:val="auto"/>
        </w:rPr>
        <w:t>T</w:t>
      </w:r>
      <w:r w:rsidRPr="00A11C76">
        <w:rPr>
          <w:color w:val="auto"/>
        </w:rPr>
        <w:t xml:space="preserve">he Committee </w:t>
      </w:r>
      <w:r>
        <w:rPr>
          <w:color w:val="auto"/>
        </w:rPr>
        <w:t xml:space="preserve">continued to </w:t>
      </w:r>
      <w:r w:rsidRPr="00A11C76">
        <w:rPr>
          <w:color w:val="auto"/>
        </w:rPr>
        <w:t>agree that appropriate benchmark comparators were HE institutions whose turnover w</w:t>
      </w:r>
      <w:r>
        <w:rPr>
          <w:color w:val="auto"/>
        </w:rPr>
        <w:t>as</w:t>
      </w:r>
      <w:r w:rsidRPr="00A11C76">
        <w:rPr>
          <w:color w:val="auto"/>
        </w:rPr>
        <w:t xml:space="preserve"> £150m more or less than that of the OU, along with the current benchmarking group (pre-92 institutions with income over £400m). </w:t>
      </w:r>
    </w:p>
    <w:p w14:paraId="77B6854F" w14:textId="77777777" w:rsidR="007B5DCC" w:rsidRPr="00A11C76" w:rsidRDefault="007B5DCC" w:rsidP="007B5DCC">
      <w:pPr>
        <w:pStyle w:val="Papertext"/>
        <w:numPr>
          <w:ilvl w:val="0"/>
          <w:numId w:val="13"/>
        </w:numPr>
        <w:ind w:left="851" w:hanging="851"/>
        <w:rPr>
          <w:color w:val="auto"/>
        </w:rPr>
      </w:pPr>
      <w:r w:rsidRPr="00A11C76">
        <w:rPr>
          <w:color w:val="auto"/>
        </w:rPr>
        <w:t xml:space="preserve">In order to carry out a robust process, the Committee gave consideration to the following </w:t>
      </w:r>
      <w:proofErr w:type="gramStart"/>
      <w:r w:rsidRPr="00A11C76">
        <w:rPr>
          <w:color w:val="auto"/>
        </w:rPr>
        <w:t>factors;</w:t>
      </w:r>
      <w:proofErr w:type="gramEnd"/>
      <w:r w:rsidRPr="00A11C76">
        <w:rPr>
          <w:color w:val="auto"/>
        </w:rPr>
        <w:t xml:space="preserve"> </w:t>
      </w:r>
    </w:p>
    <w:p w14:paraId="30252535" w14:textId="77777777" w:rsidR="007B5DCC" w:rsidRPr="00E35B12" w:rsidRDefault="007B5DCC" w:rsidP="007B5DCC">
      <w:pPr>
        <w:widowControl/>
        <w:numPr>
          <w:ilvl w:val="0"/>
          <w:numId w:val="19"/>
        </w:numPr>
        <w:adjustRightInd w:val="0"/>
      </w:pPr>
      <w:r w:rsidRPr="00E35B12">
        <w:rPr>
          <w:b/>
          <w:bCs/>
        </w:rPr>
        <w:t>Pro-Chancellor’s report</w:t>
      </w:r>
      <w:r w:rsidRPr="00E35B12">
        <w:t xml:space="preserve"> – summary of performance against agreed objectives. The Pro Chancellor seeks feedback from Council members against delivery of the VC’s objectives.</w:t>
      </w:r>
    </w:p>
    <w:p w14:paraId="1C111F53" w14:textId="77777777" w:rsidR="007B5DCC" w:rsidRPr="00E35B12" w:rsidRDefault="007B5DCC" w:rsidP="007B5DCC">
      <w:pPr>
        <w:widowControl/>
        <w:numPr>
          <w:ilvl w:val="0"/>
          <w:numId w:val="19"/>
        </w:numPr>
        <w:adjustRightInd w:val="0"/>
      </w:pPr>
      <w:r w:rsidRPr="00E35B12">
        <w:rPr>
          <w:b/>
          <w:bCs/>
        </w:rPr>
        <w:t>Institutional performance report</w:t>
      </w:r>
      <w:r w:rsidRPr="00E35B12">
        <w:t xml:space="preserve"> - based on KPIs and metrics agreed by the Council (as per para 4). </w:t>
      </w:r>
    </w:p>
    <w:p w14:paraId="57EB680D" w14:textId="77777777" w:rsidR="007B5DCC" w:rsidRPr="00B07400" w:rsidRDefault="007B5DCC" w:rsidP="007B5DCC">
      <w:pPr>
        <w:widowControl/>
        <w:numPr>
          <w:ilvl w:val="0"/>
          <w:numId w:val="19"/>
        </w:numPr>
        <w:adjustRightInd w:val="0"/>
      </w:pPr>
      <w:r w:rsidRPr="00B07400">
        <w:rPr>
          <w:b/>
          <w:bCs/>
        </w:rPr>
        <w:t>Comparative market data</w:t>
      </w:r>
      <w:r w:rsidRPr="00B07400">
        <w:t xml:space="preserve"> – data based on the sector and includes pay multiples </w:t>
      </w:r>
    </w:p>
    <w:p w14:paraId="7D039DB3" w14:textId="58FE5803" w:rsidR="007B5DCC" w:rsidRDefault="007B5DCC" w:rsidP="007B5DCC">
      <w:pPr>
        <w:widowControl/>
        <w:numPr>
          <w:ilvl w:val="0"/>
          <w:numId w:val="19"/>
        </w:numPr>
        <w:adjustRightInd w:val="0"/>
      </w:pPr>
      <w:r w:rsidRPr="00B07400">
        <w:rPr>
          <w:b/>
          <w:bCs/>
        </w:rPr>
        <w:t xml:space="preserve">External market conditions </w:t>
      </w:r>
      <w:r w:rsidRPr="00B07400">
        <w:t xml:space="preserve">– includes broader factors that may have affected the performance </w:t>
      </w:r>
      <w:proofErr w:type="gramStart"/>
      <w:r w:rsidRPr="00B07400">
        <w:t>e.g.</w:t>
      </w:r>
      <w:proofErr w:type="gramEnd"/>
      <w:r w:rsidRPr="00B07400">
        <w:t xml:space="preserve"> local employment market.</w:t>
      </w:r>
    </w:p>
    <w:p w14:paraId="3083575D" w14:textId="77777777" w:rsidR="00421823" w:rsidRDefault="00421823" w:rsidP="00421823">
      <w:pPr>
        <w:widowControl/>
        <w:adjustRightInd w:val="0"/>
        <w:ind w:left="1211"/>
      </w:pPr>
    </w:p>
    <w:p w14:paraId="670A0447" w14:textId="4E3FA95B" w:rsidR="004B1F7B" w:rsidRPr="00421823" w:rsidRDefault="007B5DCC" w:rsidP="00421823">
      <w:pPr>
        <w:pStyle w:val="Papertext"/>
        <w:numPr>
          <w:ilvl w:val="0"/>
          <w:numId w:val="13"/>
        </w:numPr>
        <w:ind w:left="851" w:hanging="851"/>
        <w:rPr>
          <w:color w:val="auto"/>
        </w:rPr>
      </w:pPr>
      <w:r>
        <w:rPr>
          <w:color w:val="auto"/>
        </w:rPr>
        <w:t>T</w:t>
      </w:r>
      <w:r w:rsidRPr="00716C8F">
        <w:rPr>
          <w:color w:val="auto"/>
        </w:rPr>
        <w:t>he Vice-Chancellor is not contractually eligible for the automatic Cost-of-Living award however is eligible for an annual salary review</w:t>
      </w:r>
      <w:r>
        <w:rPr>
          <w:color w:val="auto"/>
        </w:rPr>
        <w:t>.</w:t>
      </w:r>
    </w:p>
    <w:p w14:paraId="7F3C1BD0" w14:textId="2AE97DC5" w:rsidR="00202141" w:rsidRDefault="004B1F7B" w:rsidP="004B1F7B">
      <w:pPr>
        <w:pStyle w:val="Papertext"/>
        <w:numPr>
          <w:ilvl w:val="0"/>
          <w:numId w:val="13"/>
        </w:numPr>
        <w:ind w:left="851" w:hanging="851"/>
      </w:pPr>
      <w:r w:rsidRPr="00F44FD8">
        <w:t>Summary positioning of the VC</w:t>
      </w:r>
      <w:r>
        <w:t xml:space="preserve">’s </w:t>
      </w:r>
      <w:r w:rsidRPr="00F44FD8">
        <w:t xml:space="preserve">pay </w:t>
      </w:r>
      <w:r w:rsidR="00D73043">
        <w:t>details</w:t>
      </w:r>
      <w:r w:rsidRPr="00F44FD8">
        <w:t xml:space="preserve"> and comparison to external benchmarking data</w:t>
      </w:r>
      <w:r w:rsidR="00D73043">
        <w:t xml:space="preserve"> </w:t>
      </w:r>
      <w:r w:rsidR="00212AD6">
        <w:t>is shown</w:t>
      </w:r>
      <w:r w:rsidRPr="00F44FD8">
        <w:t xml:space="preserve"> below. </w:t>
      </w:r>
    </w:p>
    <w:tbl>
      <w:tblPr>
        <w:tblW w:w="0" w:type="auto"/>
        <w:tblBorders>
          <w:top w:val="double" w:sz="2" w:space="0" w:color="E6E7E8"/>
          <w:left w:val="double" w:sz="2" w:space="0" w:color="E6E7E8"/>
          <w:bottom w:val="double" w:sz="2" w:space="0" w:color="E6E7E8"/>
          <w:right w:val="double" w:sz="2" w:space="0" w:color="E6E7E8"/>
          <w:insideH w:val="double" w:sz="2" w:space="0" w:color="E6E7E8"/>
          <w:insideV w:val="double" w:sz="2" w:space="0" w:color="E6E7E8"/>
        </w:tblBorders>
        <w:tblLayout w:type="fixed"/>
        <w:tblCellMar>
          <w:left w:w="0" w:type="dxa"/>
          <w:right w:w="0" w:type="dxa"/>
        </w:tblCellMar>
        <w:tblLook w:val="01E0" w:firstRow="1" w:lastRow="1" w:firstColumn="1" w:lastColumn="1" w:noHBand="0" w:noVBand="0"/>
      </w:tblPr>
      <w:tblGrid>
        <w:gridCol w:w="3261"/>
        <w:gridCol w:w="6520"/>
      </w:tblGrid>
      <w:tr w:rsidR="00321C6F" w:rsidRPr="00321C6F" w14:paraId="2C449A28" w14:textId="77777777" w:rsidTr="00321C6F">
        <w:trPr>
          <w:trHeight w:val="432"/>
        </w:trPr>
        <w:tc>
          <w:tcPr>
            <w:tcW w:w="3261" w:type="dxa"/>
            <w:tcBorders>
              <w:top w:val="double" w:sz="4" w:space="0" w:color="auto"/>
              <w:left w:val="double" w:sz="4" w:space="0" w:color="auto"/>
              <w:bottom w:val="nil"/>
              <w:right w:val="double" w:sz="2" w:space="0" w:color="231F20"/>
            </w:tcBorders>
            <w:shd w:val="clear" w:color="auto" w:fill="0D56A7"/>
          </w:tcPr>
          <w:p w14:paraId="7476EB0B" w14:textId="77777777" w:rsidR="00321C6F" w:rsidRPr="00321C6F" w:rsidRDefault="00321C6F" w:rsidP="00321C6F">
            <w:pPr>
              <w:rPr>
                <w:rFonts w:ascii="Times New Roman" w:eastAsia="Montserrat" w:hAnsi="Montserrat" w:cs="Montserrat"/>
                <w:sz w:val="18"/>
                <w:lang w:val="en-US" w:eastAsia="en-US" w:bidi="ar-SA"/>
              </w:rPr>
            </w:pPr>
          </w:p>
        </w:tc>
        <w:tc>
          <w:tcPr>
            <w:tcW w:w="6520" w:type="dxa"/>
            <w:tcBorders>
              <w:top w:val="double" w:sz="4" w:space="0" w:color="auto"/>
              <w:left w:val="double" w:sz="2" w:space="0" w:color="231F20"/>
              <w:bottom w:val="nil"/>
              <w:right w:val="double" w:sz="4" w:space="0" w:color="auto"/>
            </w:tcBorders>
            <w:shd w:val="clear" w:color="auto" w:fill="0D56A7"/>
          </w:tcPr>
          <w:p w14:paraId="1123FA43" w14:textId="77777777" w:rsidR="00321C6F" w:rsidRPr="00321C6F" w:rsidRDefault="00321C6F" w:rsidP="00321C6F">
            <w:pPr>
              <w:spacing w:before="89"/>
              <w:ind w:left="157"/>
              <w:rPr>
                <w:rFonts w:ascii="Montserrat" w:eastAsia="Montserrat" w:hAnsi="Montserrat" w:cs="Montserrat"/>
                <w:b/>
                <w:sz w:val="20"/>
                <w:lang w:val="en-US" w:eastAsia="en-US" w:bidi="ar-SA"/>
              </w:rPr>
            </w:pPr>
            <w:r w:rsidRPr="00321C6F">
              <w:rPr>
                <w:rFonts w:ascii="Montserrat" w:eastAsia="Montserrat" w:hAnsi="Montserrat" w:cs="Montserrat"/>
                <w:b/>
                <w:color w:val="FFFFFF"/>
                <w:sz w:val="20"/>
                <w:lang w:val="en-US" w:eastAsia="en-US" w:bidi="ar-SA"/>
              </w:rPr>
              <w:t>Professor</w:t>
            </w:r>
            <w:r w:rsidRPr="00321C6F">
              <w:rPr>
                <w:rFonts w:ascii="Montserrat" w:eastAsia="Montserrat" w:hAnsi="Montserrat" w:cs="Montserrat"/>
                <w:b/>
                <w:color w:val="FFFFFF"/>
                <w:spacing w:val="8"/>
                <w:sz w:val="20"/>
                <w:lang w:val="en-US" w:eastAsia="en-US" w:bidi="ar-SA"/>
              </w:rPr>
              <w:t xml:space="preserve"> </w:t>
            </w:r>
            <w:r w:rsidRPr="00321C6F">
              <w:rPr>
                <w:rFonts w:ascii="Montserrat" w:eastAsia="Montserrat" w:hAnsi="Montserrat" w:cs="Montserrat"/>
                <w:b/>
                <w:color w:val="FFFFFF"/>
                <w:sz w:val="20"/>
                <w:lang w:val="en-US" w:eastAsia="en-US" w:bidi="ar-SA"/>
              </w:rPr>
              <w:t>T</w:t>
            </w:r>
            <w:r w:rsidRPr="00321C6F">
              <w:rPr>
                <w:rFonts w:ascii="Montserrat" w:eastAsia="Montserrat" w:hAnsi="Montserrat" w:cs="Montserrat"/>
                <w:b/>
                <w:color w:val="FFFFFF"/>
                <w:spacing w:val="9"/>
                <w:sz w:val="20"/>
                <w:lang w:val="en-US" w:eastAsia="en-US" w:bidi="ar-SA"/>
              </w:rPr>
              <w:t xml:space="preserve"> </w:t>
            </w:r>
            <w:r w:rsidRPr="00321C6F">
              <w:rPr>
                <w:rFonts w:ascii="Montserrat" w:eastAsia="Montserrat" w:hAnsi="Montserrat" w:cs="Montserrat"/>
                <w:b/>
                <w:color w:val="FFFFFF"/>
                <w:sz w:val="20"/>
                <w:lang w:val="en-US" w:eastAsia="en-US" w:bidi="ar-SA"/>
              </w:rPr>
              <w:t>Blackman</w:t>
            </w:r>
          </w:p>
        </w:tc>
      </w:tr>
      <w:tr w:rsidR="00321C6F" w:rsidRPr="00321C6F" w14:paraId="60458EAA" w14:textId="77777777" w:rsidTr="00321C6F">
        <w:trPr>
          <w:trHeight w:val="487"/>
        </w:trPr>
        <w:tc>
          <w:tcPr>
            <w:tcW w:w="3261" w:type="dxa"/>
            <w:tcBorders>
              <w:top w:val="nil"/>
              <w:left w:val="double" w:sz="4" w:space="0" w:color="auto"/>
              <w:bottom w:val="single" w:sz="4" w:space="0" w:color="0D56A7"/>
              <w:right w:val="double" w:sz="2" w:space="0" w:color="231F20"/>
            </w:tcBorders>
            <w:shd w:val="clear" w:color="auto" w:fill="E6E7E8"/>
          </w:tcPr>
          <w:p w14:paraId="5EDAC4C0" w14:textId="77777777" w:rsidR="00321C6F" w:rsidRPr="00321C6F" w:rsidRDefault="00321C6F" w:rsidP="00321C6F">
            <w:pPr>
              <w:spacing w:before="90"/>
              <w:ind w:left="110"/>
              <w:rPr>
                <w:rFonts w:ascii="Montserrat" w:eastAsia="Montserrat" w:hAnsi="Montserrat" w:cs="Montserrat"/>
                <w:b/>
                <w:sz w:val="17"/>
                <w:lang w:val="en-US" w:eastAsia="en-US" w:bidi="ar-SA"/>
              </w:rPr>
            </w:pPr>
            <w:r w:rsidRPr="00321C6F">
              <w:rPr>
                <w:rFonts w:ascii="Montserrat" w:eastAsia="Montserrat" w:hAnsi="Montserrat" w:cs="Montserrat"/>
                <w:b/>
                <w:color w:val="231F20"/>
                <w:w w:val="105"/>
                <w:sz w:val="17"/>
                <w:lang w:val="en-US" w:eastAsia="en-US" w:bidi="ar-SA"/>
              </w:rPr>
              <w:t>Annual</w:t>
            </w:r>
            <w:r w:rsidRPr="00321C6F">
              <w:rPr>
                <w:rFonts w:ascii="Montserrat" w:eastAsia="Montserrat" w:hAnsi="Montserrat" w:cs="Montserrat"/>
                <w:b/>
                <w:color w:val="231F20"/>
                <w:spacing w:val="-13"/>
                <w:w w:val="105"/>
                <w:sz w:val="17"/>
                <w:lang w:val="en-US" w:eastAsia="en-US" w:bidi="ar-SA"/>
              </w:rPr>
              <w:t xml:space="preserve"> </w:t>
            </w:r>
            <w:r w:rsidRPr="00321C6F">
              <w:rPr>
                <w:rFonts w:ascii="Montserrat" w:eastAsia="Montserrat" w:hAnsi="Montserrat" w:cs="Montserrat"/>
                <w:b/>
                <w:color w:val="231F20"/>
                <w:w w:val="105"/>
                <w:sz w:val="17"/>
                <w:lang w:val="en-US" w:eastAsia="en-US" w:bidi="ar-SA"/>
              </w:rPr>
              <w:t>salary</w:t>
            </w:r>
          </w:p>
        </w:tc>
        <w:tc>
          <w:tcPr>
            <w:tcW w:w="6520" w:type="dxa"/>
            <w:tcBorders>
              <w:top w:val="nil"/>
              <w:left w:val="double" w:sz="2" w:space="0" w:color="231F20"/>
              <w:bottom w:val="double" w:sz="2" w:space="0" w:color="0D56A7"/>
              <w:right w:val="double" w:sz="4" w:space="0" w:color="auto"/>
            </w:tcBorders>
          </w:tcPr>
          <w:p w14:paraId="09BAD9E3" w14:textId="345B2B9C" w:rsidR="00321C6F" w:rsidRPr="00321C6F" w:rsidRDefault="00321C6F" w:rsidP="00321C6F">
            <w:pPr>
              <w:spacing w:before="90"/>
              <w:ind w:left="47"/>
              <w:rPr>
                <w:rFonts w:ascii="Montserrat" w:eastAsia="Montserrat" w:hAnsi="Montserrat" w:cs="Montserrat"/>
                <w:sz w:val="17"/>
                <w:lang w:val="en-US" w:eastAsia="en-US" w:bidi="ar-SA"/>
              </w:rPr>
            </w:pPr>
            <w:r w:rsidRPr="00321C6F">
              <w:rPr>
                <w:rFonts w:ascii="Montserrat" w:eastAsia="Montserrat" w:hAnsi="Montserrat" w:cs="Montserrat"/>
                <w:color w:val="231F20"/>
                <w:w w:val="105"/>
                <w:sz w:val="17"/>
                <w:lang w:val="en-US" w:eastAsia="en-US" w:bidi="ar-SA"/>
              </w:rPr>
              <w:t>£27</w:t>
            </w:r>
            <w:r w:rsidR="00421823">
              <w:rPr>
                <w:rFonts w:ascii="Montserrat" w:eastAsia="Montserrat" w:hAnsi="Montserrat" w:cs="Montserrat"/>
                <w:color w:val="231F20"/>
                <w:w w:val="105"/>
                <w:sz w:val="17"/>
                <w:lang w:val="en-US" w:eastAsia="en-US" w:bidi="ar-SA"/>
              </w:rPr>
              <w:t>7,500</w:t>
            </w:r>
          </w:p>
        </w:tc>
      </w:tr>
      <w:tr w:rsidR="00321C6F" w:rsidRPr="00321C6F" w14:paraId="502378F8" w14:textId="77777777" w:rsidTr="00321C6F">
        <w:trPr>
          <w:trHeight w:val="582"/>
        </w:trPr>
        <w:tc>
          <w:tcPr>
            <w:tcW w:w="3261" w:type="dxa"/>
            <w:tcBorders>
              <w:top w:val="single" w:sz="4" w:space="0" w:color="0D56A7"/>
              <w:left w:val="double" w:sz="4" w:space="0" w:color="auto"/>
              <w:bottom w:val="single" w:sz="4" w:space="0" w:color="0D56A7"/>
              <w:right w:val="double" w:sz="2" w:space="0" w:color="231F20"/>
            </w:tcBorders>
            <w:shd w:val="clear" w:color="auto" w:fill="E6E7E8"/>
          </w:tcPr>
          <w:p w14:paraId="677EE83F" w14:textId="77777777" w:rsidR="00321C6F" w:rsidRPr="00321C6F" w:rsidRDefault="00321C6F" w:rsidP="00321C6F">
            <w:pPr>
              <w:spacing w:before="83"/>
              <w:ind w:left="110"/>
              <w:rPr>
                <w:rFonts w:ascii="Montserrat" w:eastAsia="Montserrat" w:hAnsi="Montserrat" w:cs="Montserrat"/>
                <w:b/>
                <w:sz w:val="17"/>
                <w:lang w:val="en-US" w:eastAsia="en-US" w:bidi="ar-SA"/>
              </w:rPr>
            </w:pPr>
            <w:r w:rsidRPr="00321C6F">
              <w:rPr>
                <w:rFonts w:ascii="Montserrat" w:eastAsia="Montserrat" w:hAnsi="Montserrat" w:cs="Montserrat"/>
                <w:b/>
                <w:color w:val="231F20"/>
                <w:sz w:val="17"/>
                <w:lang w:val="en-US" w:eastAsia="en-US" w:bidi="ar-SA"/>
              </w:rPr>
              <w:t>Performance-related</w:t>
            </w:r>
            <w:r w:rsidRPr="00321C6F">
              <w:rPr>
                <w:rFonts w:ascii="Montserrat" w:eastAsia="Montserrat" w:hAnsi="Montserrat" w:cs="Montserrat"/>
                <w:b/>
                <w:color w:val="231F20"/>
                <w:spacing w:val="18"/>
                <w:sz w:val="17"/>
                <w:lang w:val="en-US" w:eastAsia="en-US" w:bidi="ar-SA"/>
              </w:rPr>
              <w:t xml:space="preserve"> </w:t>
            </w:r>
            <w:r w:rsidRPr="00321C6F">
              <w:rPr>
                <w:rFonts w:ascii="Montserrat" w:eastAsia="Montserrat" w:hAnsi="Montserrat" w:cs="Montserrat"/>
                <w:b/>
                <w:color w:val="231F20"/>
                <w:sz w:val="17"/>
                <w:lang w:val="en-US" w:eastAsia="en-US" w:bidi="ar-SA"/>
              </w:rPr>
              <w:t>pay</w:t>
            </w:r>
          </w:p>
        </w:tc>
        <w:tc>
          <w:tcPr>
            <w:tcW w:w="6520" w:type="dxa"/>
            <w:tcBorders>
              <w:top w:val="double" w:sz="2" w:space="0" w:color="0D56A7"/>
              <w:left w:val="double" w:sz="2" w:space="0" w:color="231F20"/>
              <w:bottom w:val="single" w:sz="4" w:space="0" w:color="0D56A7"/>
              <w:right w:val="double" w:sz="4" w:space="0" w:color="auto"/>
            </w:tcBorders>
          </w:tcPr>
          <w:p w14:paraId="0AA0A696" w14:textId="77777777" w:rsidR="00321C6F" w:rsidRPr="00321C6F" w:rsidRDefault="00321C6F" w:rsidP="00321C6F">
            <w:pPr>
              <w:spacing w:before="100" w:line="218" w:lineRule="auto"/>
              <w:ind w:left="47" w:right="297"/>
              <w:rPr>
                <w:rFonts w:ascii="Montserrat" w:eastAsia="Montserrat" w:hAnsi="Montserrat" w:cs="Montserrat"/>
                <w:sz w:val="17"/>
                <w:lang w:val="en-US" w:eastAsia="en-US" w:bidi="ar-SA"/>
              </w:rPr>
            </w:pPr>
            <w:r w:rsidRPr="00321C6F">
              <w:rPr>
                <w:rFonts w:ascii="Montserrat" w:eastAsia="Montserrat" w:hAnsi="Montserrat" w:cs="Montserrat"/>
                <w:color w:val="231F20"/>
                <w:sz w:val="17"/>
                <w:lang w:val="en-US" w:eastAsia="en-US" w:bidi="ar-SA"/>
              </w:rPr>
              <w:t>Eligible to be considered for discretionary merit award (based on previous year’s performance)</w:t>
            </w:r>
          </w:p>
        </w:tc>
      </w:tr>
      <w:tr w:rsidR="00321C6F" w:rsidRPr="00321C6F" w14:paraId="23E9ED7E" w14:textId="77777777" w:rsidTr="00421823">
        <w:trPr>
          <w:trHeight w:val="763"/>
        </w:trPr>
        <w:tc>
          <w:tcPr>
            <w:tcW w:w="3261" w:type="dxa"/>
            <w:tcBorders>
              <w:top w:val="single" w:sz="4" w:space="0" w:color="0D56A7"/>
              <w:left w:val="double" w:sz="4" w:space="0" w:color="auto"/>
              <w:bottom w:val="single" w:sz="4" w:space="0" w:color="0D56A7"/>
              <w:right w:val="double" w:sz="2" w:space="0" w:color="231F20"/>
            </w:tcBorders>
            <w:shd w:val="clear" w:color="auto" w:fill="E6E7E8"/>
          </w:tcPr>
          <w:p w14:paraId="7BE4AFEF" w14:textId="77777777" w:rsidR="00321C6F" w:rsidRPr="00321C6F" w:rsidRDefault="00321C6F" w:rsidP="00321C6F">
            <w:pPr>
              <w:spacing w:before="85"/>
              <w:ind w:left="110"/>
              <w:rPr>
                <w:rFonts w:ascii="Montserrat" w:eastAsia="Montserrat" w:hAnsi="Montserrat" w:cs="Montserrat"/>
                <w:b/>
                <w:sz w:val="17"/>
                <w:lang w:val="en-US" w:eastAsia="en-US" w:bidi="ar-SA"/>
              </w:rPr>
            </w:pPr>
            <w:r w:rsidRPr="00321C6F">
              <w:rPr>
                <w:rFonts w:ascii="Montserrat" w:eastAsia="Montserrat" w:hAnsi="Montserrat" w:cs="Montserrat"/>
                <w:b/>
                <w:color w:val="231F20"/>
                <w:w w:val="105"/>
                <w:sz w:val="17"/>
                <w:lang w:val="en-US" w:eastAsia="en-US" w:bidi="ar-SA"/>
              </w:rPr>
              <w:t>Benefits</w:t>
            </w:r>
          </w:p>
        </w:tc>
        <w:tc>
          <w:tcPr>
            <w:tcW w:w="6520" w:type="dxa"/>
            <w:tcBorders>
              <w:top w:val="single" w:sz="4" w:space="0" w:color="0D56A7"/>
              <w:left w:val="double" w:sz="2" w:space="0" w:color="231F20"/>
              <w:bottom w:val="single" w:sz="4" w:space="0" w:color="0D56A7"/>
              <w:right w:val="double" w:sz="4" w:space="0" w:color="auto"/>
            </w:tcBorders>
          </w:tcPr>
          <w:p w14:paraId="0F3E6EF8" w14:textId="77777777" w:rsidR="00321C6F" w:rsidRPr="00321C6F" w:rsidRDefault="00321C6F" w:rsidP="00321C6F">
            <w:pPr>
              <w:spacing w:before="85"/>
              <w:ind w:left="47"/>
              <w:rPr>
                <w:rFonts w:ascii="Montserrat" w:eastAsia="Montserrat" w:hAnsi="Montserrat" w:cs="Montserrat"/>
                <w:sz w:val="17"/>
                <w:lang w:val="en-US" w:eastAsia="en-US" w:bidi="ar-SA"/>
              </w:rPr>
            </w:pPr>
            <w:r w:rsidRPr="00321C6F">
              <w:rPr>
                <w:rFonts w:ascii="Montserrat" w:eastAsia="Montserrat" w:hAnsi="Montserrat" w:cs="Montserrat"/>
                <w:color w:val="231F20"/>
                <w:sz w:val="17"/>
                <w:lang w:val="en-US" w:eastAsia="en-US" w:bidi="ar-SA"/>
              </w:rPr>
              <w:t>£36,700</w:t>
            </w:r>
            <w:r w:rsidRPr="00321C6F">
              <w:rPr>
                <w:rFonts w:ascii="Montserrat" w:eastAsia="Montserrat" w:hAnsi="Montserrat" w:cs="Montserrat"/>
                <w:color w:val="231F20"/>
                <w:spacing w:val="14"/>
                <w:sz w:val="17"/>
                <w:lang w:val="en-US" w:eastAsia="en-US" w:bidi="ar-SA"/>
              </w:rPr>
              <w:t xml:space="preserve"> </w:t>
            </w:r>
            <w:r w:rsidRPr="00321C6F">
              <w:rPr>
                <w:rFonts w:ascii="Montserrat" w:eastAsia="Montserrat" w:hAnsi="Montserrat" w:cs="Montserrat"/>
                <w:color w:val="231F20"/>
                <w:sz w:val="17"/>
                <w:lang w:val="en-US" w:eastAsia="en-US" w:bidi="ar-SA"/>
              </w:rPr>
              <w:t>pension</w:t>
            </w:r>
            <w:r w:rsidRPr="00321C6F">
              <w:rPr>
                <w:rFonts w:ascii="Montserrat" w:eastAsia="Montserrat" w:hAnsi="Montserrat" w:cs="Montserrat"/>
                <w:color w:val="231F20"/>
                <w:spacing w:val="14"/>
                <w:sz w:val="17"/>
                <w:lang w:val="en-US" w:eastAsia="en-US" w:bidi="ar-SA"/>
              </w:rPr>
              <w:t xml:space="preserve"> </w:t>
            </w:r>
            <w:r w:rsidRPr="00321C6F">
              <w:rPr>
                <w:rFonts w:ascii="Montserrat" w:eastAsia="Montserrat" w:hAnsi="Montserrat" w:cs="Montserrat"/>
                <w:color w:val="231F20"/>
                <w:sz w:val="17"/>
                <w:lang w:val="en-US" w:eastAsia="en-US" w:bidi="ar-SA"/>
              </w:rPr>
              <w:t>allowance.</w:t>
            </w:r>
            <w:r w:rsidRPr="00321C6F">
              <w:rPr>
                <w:rFonts w:ascii="Montserrat" w:eastAsia="Montserrat" w:hAnsi="Montserrat" w:cs="Montserrat"/>
                <w:color w:val="231F20"/>
                <w:spacing w:val="14"/>
                <w:sz w:val="17"/>
                <w:lang w:val="en-US" w:eastAsia="en-US" w:bidi="ar-SA"/>
              </w:rPr>
              <w:t xml:space="preserve"> </w:t>
            </w:r>
            <w:r w:rsidRPr="00321C6F">
              <w:rPr>
                <w:rFonts w:ascii="Montserrat" w:eastAsia="Montserrat" w:hAnsi="Montserrat" w:cs="Montserrat"/>
                <w:color w:val="231F20"/>
                <w:sz w:val="17"/>
                <w:lang w:val="en-US" w:eastAsia="en-US" w:bidi="ar-SA"/>
              </w:rPr>
              <w:t>Not</w:t>
            </w:r>
            <w:r w:rsidRPr="00321C6F">
              <w:rPr>
                <w:rFonts w:ascii="Montserrat" w:eastAsia="Montserrat" w:hAnsi="Montserrat" w:cs="Montserrat"/>
                <w:color w:val="231F20"/>
                <w:spacing w:val="15"/>
                <w:sz w:val="17"/>
                <w:lang w:val="en-US" w:eastAsia="en-US" w:bidi="ar-SA"/>
              </w:rPr>
              <w:t xml:space="preserve"> </w:t>
            </w:r>
            <w:r w:rsidRPr="00321C6F">
              <w:rPr>
                <w:rFonts w:ascii="Montserrat" w:eastAsia="Montserrat" w:hAnsi="Montserrat" w:cs="Montserrat"/>
                <w:color w:val="231F20"/>
                <w:sz w:val="17"/>
                <w:lang w:val="en-US" w:eastAsia="en-US" w:bidi="ar-SA"/>
              </w:rPr>
              <w:t>in</w:t>
            </w:r>
            <w:r w:rsidRPr="00321C6F">
              <w:rPr>
                <w:rFonts w:ascii="Montserrat" w:eastAsia="Montserrat" w:hAnsi="Montserrat" w:cs="Montserrat"/>
                <w:color w:val="231F20"/>
                <w:spacing w:val="14"/>
                <w:sz w:val="17"/>
                <w:lang w:val="en-US" w:eastAsia="en-US" w:bidi="ar-SA"/>
              </w:rPr>
              <w:t xml:space="preserve"> </w:t>
            </w:r>
            <w:r w:rsidRPr="00321C6F">
              <w:rPr>
                <w:rFonts w:ascii="Montserrat" w:eastAsia="Montserrat" w:hAnsi="Montserrat" w:cs="Montserrat"/>
                <w:color w:val="231F20"/>
                <w:sz w:val="17"/>
                <w:lang w:val="en-US" w:eastAsia="en-US" w:bidi="ar-SA"/>
              </w:rPr>
              <w:t>current</w:t>
            </w:r>
            <w:r w:rsidRPr="00321C6F">
              <w:rPr>
                <w:rFonts w:ascii="Montserrat" w:eastAsia="Montserrat" w:hAnsi="Montserrat" w:cs="Montserrat"/>
                <w:color w:val="231F20"/>
                <w:spacing w:val="14"/>
                <w:sz w:val="17"/>
                <w:lang w:val="en-US" w:eastAsia="en-US" w:bidi="ar-SA"/>
              </w:rPr>
              <w:t xml:space="preserve"> </w:t>
            </w:r>
            <w:r w:rsidRPr="00321C6F">
              <w:rPr>
                <w:rFonts w:ascii="Montserrat" w:eastAsia="Montserrat" w:hAnsi="Montserrat" w:cs="Montserrat"/>
                <w:color w:val="231F20"/>
                <w:sz w:val="17"/>
                <w:lang w:val="en-US" w:eastAsia="en-US" w:bidi="ar-SA"/>
              </w:rPr>
              <w:t>pension</w:t>
            </w:r>
            <w:r w:rsidRPr="00321C6F">
              <w:rPr>
                <w:rFonts w:ascii="Montserrat" w:eastAsia="Montserrat" w:hAnsi="Montserrat" w:cs="Montserrat"/>
                <w:color w:val="231F20"/>
                <w:spacing w:val="15"/>
                <w:sz w:val="17"/>
                <w:lang w:val="en-US" w:eastAsia="en-US" w:bidi="ar-SA"/>
              </w:rPr>
              <w:t xml:space="preserve"> </w:t>
            </w:r>
            <w:r w:rsidRPr="00321C6F">
              <w:rPr>
                <w:rFonts w:ascii="Montserrat" w:eastAsia="Montserrat" w:hAnsi="Montserrat" w:cs="Montserrat"/>
                <w:color w:val="231F20"/>
                <w:sz w:val="17"/>
                <w:lang w:val="en-US" w:eastAsia="en-US" w:bidi="ar-SA"/>
              </w:rPr>
              <w:t>scheme</w:t>
            </w:r>
          </w:p>
          <w:p w14:paraId="761BCF3A" w14:textId="61286D00" w:rsidR="00321C6F" w:rsidRPr="00321C6F" w:rsidRDefault="00321C6F" w:rsidP="00421823">
            <w:pPr>
              <w:spacing w:before="66"/>
              <w:ind w:left="47"/>
              <w:rPr>
                <w:rFonts w:ascii="Montserrat" w:eastAsia="Montserrat" w:hAnsi="Montserrat" w:cs="Montserrat"/>
                <w:sz w:val="17"/>
                <w:lang w:val="en-US" w:eastAsia="en-US" w:bidi="ar-SA"/>
              </w:rPr>
            </w:pPr>
            <w:r w:rsidRPr="00321C6F">
              <w:rPr>
                <w:rFonts w:ascii="Montserrat" w:eastAsia="Montserrat" w:hAnsi="Montserrat" w:cs="Montserrat"/>
                <w:color w:val="231F20"/>
                <w:sz w:val="17"/>
                <w:lang w:val="en-US" w:eastAsia="en-US" w:bidi="ar-SA"/>
              </w:rPr>
              <w:t>£3,200</w:t>
            </w:r>
            <w:r w:rsidRPr="00321C6F">
              <w:rPr>
                <w:rFonts w:ascii="Montserrat" w:eastAsia="Montserrat" w:hAnsi="Montserrat" w:cs="Montserrat"/>
                <w:color w:val="231F20"/>
                <w:spacing w:val="10"/>
                <w:sz w:val="17"/>
                <w:lang w:val="en-US" w:eastAsia="en-US" w:bidi="ar-SA"/>
              </w:rPr>
              <w:t xml:space="preserve"> </w:t>
            </w:r>
            <w:r w:rsidRPr="00321C6F">
              <w:rPr>
                <w:rFonts w:ascii="Montserrat" w:eastAsia="Montserrat" w:hAnsi="Montserrat" w:cs="Montserrat"/>
                <w:color w:val="231F20"/>
                <w:sz w:val="17"/>
                <w:lang w:val="en-US" w:eastAsia="en-US" w:bidi="ar-SA"/>
              </w:rPr>
              <w:t>Life</w:t>
            </w:r>
            <w:r w:rsidRPr="00321C6F">
              <w:rPr>
                <w:rFonts w:ascii="Montserrat" w:eastAsia="Montserrat" w:hAnsi="Montserrat" w:cs="Montserrat"/>
                <w:color w:val="231F20"/>
                <w:spacing w:val="11"/>
                <w:sz w:val="17"/>
                <w:lang w:val="en-US" w:eastAsia="en-US" w:bidi="ar-SA"/>
              </w:rPr>
              <w:t xml:space="preserve"> </w:t>
            </w:r>
            <w:r w:rsidRPr="00321C6F">
              <w:rPr>
                <w:rFonts w:ascii="Montserrat" w:eastAsia="Montserrat" w:hAnsi="Montserrat" w:cs="Montserrat"/>
                <w:color w:val="231F20"/>
                <w:sz w:val="17"/>
                <w:lang w:val="en-US" w:eastAsia="en-US" w:bidi="ar-SA"/>
              </w:rPr>
              <w:t>Assurance</w:t>
            </w:r>
            <w:r w:rsidRPr="00321C6F">
              <w:rPr>
                <w:rFonts w:ascii="Montserrat" w:eastAsia="Montserrat" w:hAnsi="Montserrat" w:cs="Montserrat"/>
                <w:color w:val="231F20"/>
                <w:spacing w:val="11"/>
                <w:sz w:val="17"/>
                <w:lang w:val="en-US" w:eastAsia="en-US" w:bidi="ar-SA"/>
              </w:rPr>
              <w:t xml:space="preserve"> </w:t>
            </w:r>
            <w:r w:rsidRPr="00321C6F">
              <w:rPr>
                <w:rFonts w:ascii="Montserrat" w:eastAsia="Montserrat" w:hAnsi="Montserrat" w:cs="Montserrat"/>
                <w:color w:val="231F20"/>
                <w:sz w:val="17"/>
                <w:lang w:val="en-US" w:eastAsia="en-US" w:bidi="ar-SA"/>
              </w:rPr>
              <w:t>Premium</w:t>
            </w:r>
          </w:p>
        </w:tc>
      </w:tr>
      <w:tr w:rsidR="00321C6F" w:rsidRPr="00321C6F" w14:paraId="23FEBDB1" w14:textId="77777777" w:rsidTr="00321C6F">
        <w:trPr>
          <w:trHeight w:val="703"/>
        </w:trPr>
        <w:tc>
          <w:tcPr>
            <w:tcW w:w="3261" w:type="dxa"/>
            <w:tcBorders>
              <w:top w:val="single" w:sz="4" w:space="0" w:color="0D56A7"/>
              <w:left w:val="double" w:sz="4" w:space="0" w:color="auto"/>
              <w:bottom w:val="single" w:sz="4" w:space="0" w:color="0D56A7"/>
              <w:right w:val="double" w:sz="2" w:space="0" w:color="231F20"/>
            </w:tcBorders>
            <w:shd w:val="clear" w:color="auto" w:fill="E6E7E8"/>
          </w:tcPr>
          <w:p w14:paraId="6048B358" w14:textId="77777777" w:rsidR="00321C6F" w:rsidRPr="00321C6F" w:rsidRDefault="00321C6F" w:rsidP="00321C6F">
            <w:pPr>
              <w:spacing w:before="85"/>
              <w:ind w:left="110"/>
              <w:rPr>
                <w:rFonts w:ascii="Montserrat" w:eastAsia="Montserrat" w:hAnsi="Montserrat" w:cs="Montserrat"/>
                <w:b/>
                <w:color w:val="231F20"/>
                <w:w w:val="105"/>
                <w:sz w:val="17"/>
                <w:lang w:val="en-US" w:eastAsia="en-US" w:bidi="ar-SA"/>
              </w:rPr>
            </w:pPr>
            <w:r w:rsidRPr="00321C6F">
              <w:rPr>
                <w:rFonts w:ascii="Montserrat" w:eastAsia="Montserrat" w:hAnsi="Montserrat" w:cs="Montserrat"/>
                <w:b/>
                <w:color w:val="231F20"/>
                <w:w w:val="105"/>
                <w:sz w:val="17"/>
                <w:lang w:val="en-US" w:eastAsia="en-US" w:bidi="ar-SA"/>
              </w:rPr>
              <w:t>Salary Benchmark against UCEA data +£400m revenue higher education provider</w:t>
            </w:r>
          </w:p>
        </w:tc>
        <w:tc>
          <w:tcPr>
            <w:tcW w:w="6520" w:type="dxa"/>
            <w:tcBorders>
              <w:top w:val="single" w:sz="4" w:space="0" w:color="0D56A7"/>
              <w:left w:val="double" w:sz="2" w:space="0" w:color="231F20"/>
              <w:bottom w:val="single" w:sz="4" w:space="0" w:color="0D56A7"/>
              <w:right w:val="double" w:sz="4" w:space="0" w:color="auto"/>
            </w:tcBorders>
          </w:tcPr>
          <w:p w14:paraId="60151620" w14:textId="32E5BA45" w:rsidR="00321C6F" w:rsidRPr="00321C6F" w:rsidRDefault="00321C6F" w:rsidP="00392C9B">
            <w:pPr>
              <w:spacing w:before="85"/>
              <w:rPr>
                <w:rFonts w:ascii="Montserrat" w:eastAsia="Montserrat" w:hAnsi="Montserrat" w:cs="Montserrat"/>
                <w:color w:val="231F20"/>
                <w:sz w:val="17"/>
                <w:lang w:val="en-US" w:eastAsia="en-US" w:bidi="ar-SA"/>
              </w:rPr>
            </w:pPr>
            <w:r w:rsidRPr="00321C6F">
              <w:rPr>
                <w:rFonts w:ascii="Montserrat" w:eastAsia="Montserrat" w:hAnsi="Montserrat" w:cs="Montserrat"/>
                <w:color w:val="231F20"/>
                <w:sz w:val="17"/>
                <w:lang w:val="en-US" w:eastAsia="en-US" w:bidi="ar-SA"/>
              </w:rPr>
              <w:t>Lower Quartile</w:t>
            </w:r>
            <w:r w:rsidR="00392C9B">
              <w:rPr>
                <w:rFonts w:ascii="Montserrat" w:eastAsia="Montserrat" w:hAnsi="Montserrat" w:cs="Montserrat"/>
                <w:color w:val="231F20"/>
                <w:sz w:val="17"/>
                <w:lang w:val="en-US" w:eastAsia="en-US" w:bidi="ar-SA"/>
              </w:rPr>
              <w:t xml:space="preserve"> – £290,194</w:t>
            </w:r>
          </w:p>
        </w:tc>
      </w:tr>
      <w:tr w:rsidR="00392C9B" w:rsidRPr="00321C6F" w14:paraId="110C5F35" w14:textId="77777777" w:rsidTr="00321C6F">
        <w:trPr>
          <w:trHeight w:val="703"/>
        </w:trPr>
        <w:tc>
          <w:tcPr>
            <w:tcW w:w="3261" w:type="dxa"/>
            <w:tcBorders>
              <w:top w:val="single" w:sz="4" w:space="0" w:color="0D56A7"/>
              <w:left w:val="double" w:sz="4" w:space="0" w:color="auto"/>
              <w:bottom w:val="single" w:sz="4" w:space="0" w:color="0D56A7"/>
              <w:right w:val="double" w:sz="2" w:space="0" w:color="231F20"/>
            </w:tcBorders>
            <w:shd w:val="clear" w:color="auto" w:fill="E6E7E8"/>
          </w:tcPr>
          <w:p w14:paraId="06409221" w14:textId="43F988D8" w:rsidR="00392C9B" w:rsidRPr="00321C6F" w:rsidRDefault="00392C9B" w:rsidP="00321C6F">
            <w:pPr>
              <w:spacing w:before="85"/>
              <w:ind w:left="110"/>
              <w:rPr>
                <w:rFonts w:ascii="Montserrat" w:eastAsia="Montserrat" w:hAnsi="Montserrat" w:cs="Montserrat"/>
                <w:b/>
                <w:color w:val="231F20"/>
                <w:w w:val="105"/>
                <w:sz w:val="17"/>
                <w:lang w:val="en-US" w:eastAsia="en-US" w:bidi="ar-SA"/>
              </w:rPr>
            </w:pPr>
            <w:r w:rsidRPr="00321C6F">
              <w:rPr>
                <w:rFonts w:ascii="Montserrat" w:eastAsia="Montserrat" w:hAnsi="Montserrat" w:cs="Montserrat"/>
                <w:b/>
                <w:color w:val="231F20"/>
                <w:w w:val="105"/>
                <w:sz w:val="17"/>
                <w:lang w:val="en-US" w:eastAsia="en-US" w:bidi="ar-SA"/>
              </w:rPr>
              <w:t>Salary Benchmark against UCEA data £325m-£625m revenue higher education provider</w:t>
            </w:r>
          </w:p>
        </w:tc>
        <w:tc>
          <w:tcPr>
            <w:tcW w:w="6520" w:type="dxa"/>
            <w:tcBorders>
              <w:top w:val="single" w:sz="4" w:space="0" w:color="0D56A7"/>
              <w:left w:val="double" w:sz="2" w:space="0" w:color="231F20"/>
              <w:bottom w:val="single" w:sz="4" w:space="0" w:color="0D56A7"/>
              <w:right w:val="double" w:sz="4" w:space="0" w:color="auto"/>
            </w:tcBorders>
          </w:tcPr>
          <w:p w14:paraId="7632AC64" w14:textId="1B8DC60E" w:rsidR="00392C9B" w:rsidRPr="00321C6F" w:rsidRDefault="00392C9B" w:rsidP="00392C9B">
            <w:pPr>
              <w:spacing w:before="85"/>
              <w:rPr>
                <w:rFonts w:ascii="Montserrat" w:eastAsia="Montserrat" w:hAnsi="Montserrat" w:cs="Montserrat"/>
                <w:color w:val="231F20"/>
                <w:sz w:val="17"/>
                <w:lang w:val="en-US" w:eastAsia="en-US" w:bidi="ar-SA"/>
              </w:rPr>
            </w:pPr>
            <w:r>
              <w:rPr>
                <w:rFonts w:ascii="Montserrat" w:eastAsia="Montserrat" w:hAnsi="Montserrat" w:cs="Montserrat"/>
                <w:color w:val="231F20"/>
                <w:sz w:val="17"/>
                <w:lang w:val="en-US" w:eastAsia="en-US" w:bidi="ar-SA"/>
              </w:rPr>
              <w:t>Lower Quartile - £276,869</w:t>
            </w:r>
          </w:p>
        </w:tc>
      </w:tr>
      <w:tr w:rsidR="00321C6F" w:rsidRPr="00321C6F" w14:paraId="1EFFB522" w14:textId="77777777" w:rsidTr="00321C6F">
        <w:trPr>
          <w:trHeight w:val="680"/>
        </w:trPr>
        <w:tc>
          <w:tcPr>
            <w:tcW w:w="3261" w:type="dxa"/>
            <w:tcBorders>
              <w:top w:val="single" w:sz="4" w:space="0" w:color="0D56A7"/>
              <w:left w:val="double" w:sz="4" w:space="0" w:color="auto"/>
              <w:bottom w:val="single" w:sz="4" w:space="0" w:color="0D56A7"/>
              <w:right w:val="double" w:sz="2" w:space="0" w:color="231F20"/>
            </w:tcBorders>
            <w:shd w:val="clear" w:color="auto" w:fill="E6E7E8"/>
          </w:tcPr>
          <w:p w14:paraId="5945F6DE" w14:textId="6DF4BB93" w:rsidR="00321C6F" w:rsidRPr="00321C6F" w:rsidRDefault="00321C6F" w:rsidP="00321C6F">
            <w:pPr>
              <w:spacing w:before="85"/>
              <w:ind w:left="110"/>
              <w:rPr>
                <w:rFonts w:ascii="Montserrat" w:eastAsia="Montserrat" w:hAnsi="Montserrat" w:cs="Montserrat"/>
                <w:b/>
                <w:color w:val="231F20"/>
                <w:w w:val="105"/>
                <w:sz w:val="17"/>
                <w:lang w:val="en-US" w:eastAsia="en-US" w:bidi="ar-SA"/>
              </w:rPr>
            </w:pPr>
            <w:r w:rsidRPr="00321C6F">
              <w:rPr>
                <w:rFonts w:ascii="Montserrat" w:eastAsia="Montserrat" w:hAnsi="Montserrat" w:cs="Montserrat"/>
                <w:b/>
                <w:color w:val="231F20"/>
                <w:w w:val="105"/>
                <w:sz w:val="17"/>
                <w:lang w:val="en-US" w:eastAsia="en-US" w:bidi="ar-SA"/>
              </w:rPr>
              <w:t>Salary Benchmark against CUC data +£400m revenue higher education provider</w:t>
            </w:r>
          </w:p>
        </w:tc>
        <w:tc>
          <w:tcPr>
            <w:tcW w:w="6520" w:type="dxa"/>
            <w:tcBorders>
              <w:top w:val="single" w:sz="4" w:space="0" w:color="0D56A7"/>
              <w:left w:val="double" w:sz="2" w:space="0" w:color="231F20"/>
              <w:bottom w:val="single" w:sz="4" w:space="0" w:color="0D56A7"/>
              <w:right w:val="double" w:sz="4" w:space="0" w:color="auto"/>
            </w:tcBorders>
          </w:tcPr>
          <w:p w14:paraId="6C1C9151" w14:textId="70215FE2" w:rsidR="00321C6F" w:rsidRPr="00321C6F" w:rsidRDefault="00321C6F" w:rsidP="00392C9B">
            <w:pPr>
              <w:spacing w:before="85"/>
              <w:rPr>
                <w:rFonts w:ascii="Montserrat" w:eastAsia="Montserrat" w:hAnsi="Montserrat" w:cs="Montserrat"/>
                <w:color w:val="231F20"/>
                <w:sz w:val="17"/>
                <w:lang w:val="en-US" w:eastAsia="en-US" w:bidi="ar-SA"/>
              </w:rPr>
            </w:pPr>
            <w:r w:rsidRPr="00321C6F">
              <w:rPr>
                <w:rFonts w:ascii="Montserrat" w:eastAsia="Montserrat" w:hAnsi="Montserrat" w:cs="Montserrat"/>
                <w:color w:val="231F20"/>
                <w:sz w:val="17"/>
                <w:lang w:val="en-US" w:eastAsia="en-US" w:bidi="ar-SA"/>
              </w:rPr>
              <w:t>Lower Quartile</w:t>
            </w:r>
            <w:r w:rsidR="00392C9B">
              <w:rPr>
                <w:rFonts w:ascii="Montserrat" w:eastAsia="Montserrat" w:hAnsi="Montserrat" w:cs="Montserrat"/>
                <w:color w:val="231F20"/>
                <w:sz w:val="17"/>
                <w:lang w:val="en-US" w:eastAsia="en-US" w:bidi="ar-SA"/>
              </w:rPr>
              <w:t xml:space="preserve"> - £289,275</w:t>
            </w:r>
          </w:p>
        </w:tc>
      </w:tr>
      <w:tr w:rsidR="00392C9B" w:rsidRPr="00321C6F" w14:paraId="3277EBE7" w14:textId="77777777" w:rsidTr="00321C6F">
        <w:trPr>
          <w:trHeight w:val="680"/>
        </w:trPr>
        <w:tc>
          <w:tcPr>
            <w:tcW w:w="3261" w:type="dxa"/>
            <w:tcBorders>
              <w:top w:val="single" w:sz="4" w:space="0" w:color="0D56A7"/>
              <w:left w:val="double" w:sz="4" w:space="0" w:color="auto"/>
              <w:bottom w:val="single" w:sz="4" w:space="0" w:color="0D56A7"/>
              <w:right w:val="double" w:sz="2" w:space="0" w:color="231F20"/>
            </w:tcBorders>
            <w:shd w:val="clear" w:color="auto" w:fill="E6E7E8"/>
          </w:tcPr>
          <w:p w14:paraId="35325B9D" w14:textId="5BDDB438" w:rsidR="00392C9B" w:rsidRPr="00321C6F" w:rsidRDefault="00392C9B" w:rsidP="00321C6F">
            <w:pPr>
              <w:spacing w:before="85"/>
              <w:ind w:left="110"/>
              <w:rPr>
                <w:rFonts w:ascii="Montserrat" w:eastAsia="Montserrat" w:hAnsi="Montserrat" w:cs="Montserrat"/>
                <w:b/>
                <w:color w:val="231F20"/>
                <w:w w:val="105"/>
                <w:sz w:val="17"/>
                <w:lang w:val="en-US" w:eastAsia="en-US" w:bidi="ar-SA"/>
              </w:rPr>
            </w:pPr>
            <w:r w:rsidRPr="00321C6F">
              <w:rPr>
                <w:rFonts w:ascii="Montserrat" w:eastAsia="Montserrat" w:hAnsi="Montserrat" w:cs="Montserrat"/>
                <w:b/>
                <w:color w:val="231F20"/>
                <w:w w:val="105"/>
                <w:sz w:val="17"/>
                <w:lang w:val="en-US" w:eastAsia="en-US" w:bidi="ar-SA"/>
              </w:rPr>
              <w:t>Salary Benchmark against CUC data £325m-£625m revenue higher education provider</w:t>
            </w:r>
          </w:p>
        </w:tc>
        <w:tc>
          <w:tcPr>
            <w:tcW w:w="6520" w:type="dxa"/>
            <w:tcBorders>
              <w:top w:val="single" w:sz="4" w:space="0" w:color="0D56A7"/>
              <w:left w:val="double" w:sz="2" w:space="0" w:color="231F20"/>
              <w:bottom w:val="single" w:sz="4" w:space="0" w:color="0D56A7"/>
              <w:right w:val="double" w:sz="4" w:space="0" w:color="auto"/>
            </w:tcBorders>
          </w:tcPr>
          <w:p w14:paraId="67F16336" w14:textId="140B7E96" w:rsidR="00392C9B" w:rsidRPr="00321C6F" w:rsidRDefault="00392C9B" w:rsidP="00392C9B">
            <w:pPr>
              <w:spacing w:before="85"/>
              <w:rPr>
                <w:rFonts w:ascii="Montserrat" w:eastAsia="Montserrat" w:hAnsi="Montserrat" w:cs="Montserrat"/>
                <w:color w:val="231F20"/>
                <w:sz w:val="17"/>
                <w:lang w:val="en-US" w:eastAsia="en-US" w:bidi="ar-SA"/>
              </w:rPr>
            </w:pPr>
            <w:r>
              <w:rPr>
                <w:rFonts w:ascii="Montserrat" w:eastAsia="Montserrat" w:hAnsi="Montserrat" w:cs="Montserrat"/>
                <w:color w:val="231F20"/>
                <w:sz w:val="17"/>
                <w:lang w:val="en-US" w:eastAsia="en-US" w:bidi="ar-SA"/>
              </w:rPr>
              <w:t>Lower Quartile - £276,659</w:t>
            </w:r>
          </w:p>
        </w:tc>
      </w:tr>
      <w:tr w:rsidR="00321C6F" w:rsidRPr="00321C6F" w14:paraId="1577A8D1" w14:textId="77777777" w:rsidTr="00392C9B">
        <w:trPr>
          <w:trHeight w:val="1390"/>
        </w:trPr>
        <w:tc>
          <w:tcPr>
            <w:tcW w:w="3261" w:type="dxa"/>
            <w:tcBorders>
              <w:top w:val="single" w:sz="4" w:space="0" w:color="0D56A7"/>
              <w:left w:val="double" w:sz="4" w:space="0" w:color="auto"/>
              <w:bottom w:val="double" w:sz="4" w:space="0" w:color="auto"/>
              <w:right w:val="double" w:sz="2" w:space="0" w:color="231F20"/>
            </w:tcBorders>
            <w:shd w:val="clear" w:color="auto" w:fill="E6E7E8"/>
          </w:tcPr>
          <w:p w14:paraId="5829A8B7" w14:textId="77777777" w:rsidR="00321C6F" w:rsidRPr="00321C6F" w:rsidRDefault="00321C6F" w:rsidP="00321C6F">
            <w:pPr>
              <w:spacing w:before="85"/>
              <w:ind w:left="110"/>
              <w:rPr>
                <w:rFonts w:ascii="Montserrat" w:eastAsia="Montserrat" w:hAnsi="Montserrat" w:cs="Montserrat"/>
                <w:b/>
                <w:sz w:val="17"/>
                <w:lang w:val="en-US" w:eastAsia="en-US" w:bidi="ar-SA"/>
              </w:rPr>
            </w:pPr>
            <w:r w:rsidRPr="00321C6F">
              <w:rPr>
                <w:rFonts w:ascii="Montserrat" w:eastAsia="Montserrat" w:hAnsi="Montserrat" w:cs="Montserrat"/>
                <w:b/>
                <w:color w:val="231F20"/>
                <w:w w:val="105"/>
                <w:sz w:val="17"/>
                <w:lang w:val="en-US" w:eastAsia="en-US" w:bidi="ar-SA"/>
              </w:rPr>
              <w:t>Context</w:t>
            </w:r>
          </w:p>
        </w:tc>
        <w:tc>
          <w:tcPr>
            <w:tcW w:w="6520" w:type="dxa"/>
            <w:tcBorders>
              <w:top w:val="single" w:sz="4" w:space="0" w:color="0D56A7"/>
              <w:left w:val="double" w:sz="2" w:space="0" w:color="231F20"/>
              <w:bottom w:val="double" w:sz="4" w:space="0" w:color="auto"/>
              <w:right w:val="double" w:sz="4" w:space="0" w:color="auto"/>
            </w:tcBorders>
          </w:tcPr>
          <w:p w14:paraId="513A6B64" w14:textId="77777777" w:rsidR="00321C6F" w:rsidRPr="00321C6F" w:rsidRDefault="00321C6F" w:rsidP="00321C6F">
            <w:pPr>
              <w:spacing w:before="85"/>
              <w:ind w:left="47"/>
              <w:rPr>
                <w:rFonts w:ascii="Montserrat" w:eastAsia="Montserrat" w:hAnsi="Montserrat" w:cs="Montserrat"/>
                <w:color w:val="231F20"/>
                <w:spacing w:val="-1"/>
                <w:w w:val="105"/>
                <w:sz w:val="17"/>
                <w:lang w:val="en-US" w:eastAsia="en-US" w:bidi="ar-SA"/>
              </w:rPr>
            </w:pPr>
            <w:r w:rsidRPr="00321C6F">
              <w:rPr>
                <w:rFonts w:ascii="Montserrat" w:eastAsia="Montserrat" w:hAnsi="Montserrat" w:cs="Montserrat"/>
                <w:color w:val="231F20"/>
                <w:spacing w:val="-1"/>
                <w:w w:val="105"/>
                <w:sz w:val="17"/>
                <w:lang w:val="en-US" w:eastAsia="en-US" w:bidi="ar-SA"/>
              </w:rPr>
              <w:t>Start</w:t>
            </w:r>
            <w:r w:rsidRPr="00321C6F">
              <w:rPr>
                <w:rFonts w:ascii="Montserrat" w:eastAsia="Montserrat" w:hAnsi="Montserrat" w:cs="Montserrat"/>
                <w:color w:val="231F20"/>
                <w:spacing w:val="-11"/>
                <w:w w:val="105"/>
                <w:sz w:val="17"/>
                <w:lang w:val="en-US" w:eastAsia="en-US" w:bidi="ar-SA"/>
              </w:rPr>
              <w:t xml:space="preserve"> </w:t>
            </w:r>
            <w:r w:rsidRPr="00321C6F">
              <w:rPr>
                <w:rFonts w:ascii="Montserrat" w:eastAsia="Montserrat" w:hAnsi="Montserrat" w:cs="Montserrat"/>
                <w:color w:val="231F20"/>
                <w:spacing w:val="-1"/>
                <w:w w:val="105"/>
                <w:sz w:val="17"/>
                <w:lang w:val="en-US" w:eastAsia="en-US" w:bidi="ar-SA"/>
              </w:rPr>
              <w:t>date</w:t>
            </w:r>
            <w:r w:rsidRPr="00321C6F">
              <w:rPr>
                <w:rFonts w:ascii="Montserrat" w:eastAsia="Montserrat" w:hAnsi="Montserrat" w:cs="Montserrat"/>
                <w:color w:val="231F20"/>
                <w:spacing w:val="-10"/>
                <w:w w:val="105"/>
                <w:sz w:val="17"/>
                <w:lang w:val="en-US" w:eastAsia="en-US" w:bidi="ar-SA"/>
              </w:rPr>
              <w:t xml:space="preserve"> </w:t>
            </w:r>
            <w:r w:rsidRPr="00321C6F">
              <w:rPr>
                <w:rFonts w:ascii="Montserrat" w:eastAsia="Montserrat" w:hAnsi="Montserrat" w:cs="Montserrat"/>
                <w:color w:val="231F20"/>
                <w:spacing w:val="-1"/>
                <w:w w:val="105"/>
                <w:sz w:val="17"/>
                <w:lang w:val="en-US" w:eastAsia="en-US" w:bidi="ar-SA"/>
              </w:rPr>
              <w:t>October</w:t>
            </w:r>
            <w:r w:rsidRPr="00321C6F">
              <w:rPr>
                <w:rFonts w:ascii="Montserrat" w:eastAsia="Montserrat" w:hAnsi="Montserrat" w:cs="Montserrat"/>
                <w:color w:val="231F20"/>
                <w:spacing w:val="-11"/>
                <w:w w:val="105"/>
                <w:sz w:val="17"/>
                <w:lang w:val="en-US" w:eastAsia="en-US" w:bidi="ar-SA"/>
              </w:rPr>
              <w:t xml:space="preserve"> </w:t>
            </w:r>
            <w:r w:rsidRPr="00321C6F">
              <w:rPr>
                <w:rFonts w:ascii="Montserrat" w:eastAsia="Montserrat" w:hAnsi="Montserrat" w:cs="Montserrat"/>
                <w:color w:val="231F20"/>
                <w:spacing w:val="-1"/>
                <w:w w:val="105"/>
                <w:sz w:val="17"/>
                <w:lang w:val="en-US" w:eastAsia="en-US" w:bidi="ar-SA"/>
              </w:rPr>
              <w:t>2019</w:t>
            </w:r>
          </w:p>
          <w:p w14:paraId="5EC061E0" w14:textId="251A35D9" w:rsidR="00321C6F" w:rsidRPr="00321C6F" w:rsidRDefault="00321C6F" w:rsidP="00392C9B">
            <w:pPr>
              <w:spacing w:before="85"/>
              <w:ind w:left="47"/>
              <w:rPr>
                <w:rFonts w:ascii="Montserrat" w:eastAsia="Montserrat" w:hAnsi="Montserrat" w:cs="Montserrat"/>
                <w:color w:val="FF0000"/>
                <w:sz w:val="17"/>
                <w:lang w:val="en-US" w:eastAsia="en-US" w:bidi="ar-SA"/>
              </w:rPr>
            </w:pPr>
            <w:r w:rsidRPr="00321C6F">
              <w:rPr>
                <w:rFonts w:ascii="Montserrat" w:eastAsia="Montserrat" w:hAnsi="Montserrat" w:cs="Montserrat"/>
                <w:sz w:val="17"/>
                <w:lang w:val="en-US" w:eastAsia="en-US" w:bidi="ar-SA"/>
              </w:rPr>
              <w:t>Not eligible for national cost of living award however eligible for an annual salary review</w:t>
            </w:r>
            <w:r w:rsidR="00392C9B">
              <w:rPr>
                <w:rFonts w:ascii="Montserrat" w:eastAsia="Montserrat" w:hAnsi="Montserrat" w:cs="Montserrat"/>
                <w:sz w:val="17"/>
                <w:lang w:val="en-US" w:eastAsia="en-US" w:bidi="ar-SA"/>
              </w:rPr>
              <w:t>. It remains the Remuneration Committee’s intention to position the Vice-Chancellor closer to the median salary benchmarks over time.</w:t>
            </w:r>
          </w:p>
        </w:tc>
      </w:tr>
    </w:tbl>
    <w:p w14:paraId="5A8AACAE" w14:textId="4F920667" w:rsidR="00202141" w:rsidRDefault="00202141" w:rsidP="00202141">
      <w:pPr>
        <w:pStyle w:val="Papertext"/>
        <w:ind w:firstLine="0"/>
      </w:pPr>
    </w:p>
    <w:p w14:paraId="151D1348" w14:textId="60DC51D4" w:rsidR="0044401B" w:rsidRDefault="004B1F7B" w:rsidP="004B1F7B">
      <w:pPr>
        <w:pStyle w:val="Papertext"/>
        <w:numPr>
          <w:ilvl w:val="0"/>
          <w:numId w:val="13"/>
        </w:numPr>
        <w:ind w:left="851" w:hanging="851"/>
      </w:pPr>
      <w:r w:rsidRPr="00F44FD8">
        <w:t xml:space="preserve">The pay multiple calculation is based on the UCEA methodology </w:t>
      </w:r>
      <w:r>
        <w:t>agreed</w:t>
      </w:r>
      <w:r w:rsidRPr="00F44FD8">
        <w:t xml:space="preserve"> by the C</w:t>
      </w:r>
      <w:r>
        <w:t xml:space="preserve">ommittee of </w:t>
      </w:r>
      <w:r w:rsidRPr="00F44FD8">
        <w:t>U</w:t>
      </w:r>
      <w:r>
        <w:t xml:space="preserve">niversity </w:t>
      </w:r>
      <w:r w:rsidRPr="00F44FD8">
        <w:t>C</w:t>
      </w:r>
      <w:r>
        <w:t>hairs</w:t>
      </w:r>
      <w:r w:rsidRPr="00F44FD8">
        <w:t>.</w:t>
      </w:r>
    </w:p>
    <w:tbl>
      <w:tblPr>
        <w:tblStyle w:val="TableGrid"/>
        <w:tblW w:w="6767" w:type="dxa"/>
        <w:tblInd w:w="1327" w:type="dxa"/>
        <w:tblLayout w:type="fixed"/>
        <w:tblLook w:val="04A0" w:firstRow="1" w:lastRow="0" w:firstColumn="1" w:lastColumn="0" w:noHBand="0" w:noVBand="1"/>
      </w:tblPr>
      <w:tblGrid>
        <w:gridCol w:w="4215"/>
        <w:gridCol w:w="2552"/>
      </w:tblGrid>
      <w:tr w:rsidR="00D73043" w:rsidRPr="006F671E" w14:paraId="3747B024" w14:textId="77777777" w:rsidTr="00202141">
        <w:trPr>
          <w:trHeight w:val="681"/>
        </w:trPr>
        <w:tc>
          <w:tcPr>
            <w:tcW w:w="4215" w:type="dxa"/>
          </w:tcPr>
          <w:p w14:paraId="60431D7E" w14:textId="77777777" w:rsidR="00D73043" w:rsidRPr="00123E62" w:rsidRDefault="00D73043" w:rsidP="00CA0D95">
            <w:pPr>
              <w:pStyle w:val="NormalTable"/>
              <w:jc w:val="left"/>
            </w:pPr>
            <w:r w:rsidRPr="00123E62">
              <w:lastRenderedPageBreak/>
              <w:t>Pay Multiple based on median pay in the OU</w:t>
            </w:r>
          </w:p>
          <w:p w14:paraId="09CF46A4" w14:textId="77777777" w:rsidR="00D73043" w:rsidRPr="00123E62" w:rsidRDefault="00D73043" w:rsidP="00CA0D95">
            <w:pPr>
              <w:pStyle w:val="NormalTable"/>
              <w:jc w:val="left"/>
            </w:pPr>
            <w:r w:rsidRPr="00123E62">
              <w:t>(Based on UCEA methodology)</w:t>
            </w:r>
          </w:p>
        </w:tc>
        <w:tc>
          <w:tcPr>
            <w:tcW w:w="2552" w:type="dxa"/>
          </w:tcPr>
          <w:p w14:paraId="6FD5A936" w14:textId="6CD56A31" w:rsidR="00D73043" w:rsidRPr="00123E62" w:rsidRDefault="00D73043" w:rsidP="00CA0D95">
            <w:pPr>
              <w:pStyle w:val="NormalTable"/>
              <w:jc w:val="center"/>
            </w:pPr>
            <w:r w:rsidRPr="00123E62">
              <w:t>31 July 20</w:t>
            </w:r>
            <w:r>
              <w:t>2</w:t>
            </w:r>
            <w:r w:rsidR="00392C9B">
              <w:t>2</w:t>
            </w:r>
            <w:r w:rsidRPr="00123E62">
              <w:t xml:space="preserve"> multiple </w:t>
            </w:r>
          </w:p>
          <w:p w14:paraId="72C98030" w14:textId="3BC1A9B8" w:rsidR="00D73043" w:rsidRPr="00123E62" w:rsidRDefault="00D73043" w:rsidP="00CA0D95">
            <w:pPr>
              <w:pStyle w:val="NormalTable"/>
              <w:jc w:val="center"/>
            </w:pPr>
            <w:r w:rsidRPr="00123E62">
              <w:t>£</w:t>
            </w:r>
            <w:r>
              <w:t>40,</w:t>
            </w:r>
            <w:r w:rsidR="00392C9B">
              <w:t>927</w:t>
            </w:r>
            <w:r w:rsidRPr="00123E62">
              <w:t xml:space="preserve"> – 6.</w:t>
            </w:r>
            <w:r w:rsidR="00392C9B">
              <w:t>78</w:t>
            </w:r>
            <w:r w:rsidRPr="00123E62">
              <w:t>x</w:t>
            </w:r>
          </w:p>
        </w:tc>
      </w:tr>
    </w:tbl>
    <w:p w14:paraId="4E03A20B" w14:textId="77777777" w:rsidR="004B1F7B" w:rsidRDefault="004B1F7B" w:rsidP="004B1F7B">
      <w:pPr>
        <w:adjustRightInd w:val="0"/>
        <w:ind w:left="720"/>
        <w:rPr>
          <w:color w:val="231F20"/>
        </w:rPr>
      </w:pPr>
    </w:p>
    <w:p w14:paraId="0D66810C" w14:textId="77777777" w:rsidR="00955F49" w:rsidRPr="00AD4EE1" w:rsidRDefault="00955F49" w:rsidP="00955F49">
      <w:pPr>
        <w:pStyle w:val="Papertext"/>
        <w:numPr>
          <w:ilvl w:val="0"/>
          <w:numId w:val="13"/>
        </w:numPr>
        <w:ind w:left="851" w:hanging="851"/>
        <w:rPr>
          <w:color w:val="auto"/>
        </w:rPr>
      </w:pPr>
      <w:r w:rsidRPr="00AD4EE1">
        <w:rPr>
          <w:color w:val="auto"/>
        </w:rPr>
        <w:t>The Vice-Chancellor’s remuneration is published in the Financial Statements. Also published is the number of other staff falling into bands of £5,000 above the £100k per annum threshold, as required by the Office for Students (</w:t>
      </w:r>
      <w:proofErr w:type="spellStart"/>
      <w:r w:rsidRPr="00AD4EE1">
        <w:rPr>
          <w:color w:val="auto"/>
        </w:rPr>
        <w:t>OfS</w:t>
      </w:r>
      <w:proofErr w:type="spellEnd"/>
      <w:r w:rsidRPr="00AD4EE1">
        <w:rPr>
          <w:color w:val="auto"/>
        </w:rPr>
        <w:t>).</w:t>
      </w:r>
    </w:p>
    <w:p w14:paraId="5CAD75A0" w14:textId="5F2B8938" w:rsidR="00955F49" w:rsidRPr="00A54C75" w:rsidRDefault="00955F49" w:rsidP="00A54C75">
      <w:pPr>
        <w:pStyle w:val="Papertext"/>
        <w:numPr>
          <w:ilvl w:val="0"/>
          <w:numId w:val="13"/>
        </w:numPr>
        <w:ind w:left="851" w:hanging="851"/>
        <w:rPr>
          <w:color w:val="auto"/>
        </w:rPr>
      </w:pPr>
      <w:r w:rsidRPr="00955F49">
        <w:rPr>
          <w:color w:val="auto"/>
        </w:rPr>
        <w:t>The Committee of University Chairs’ guidance requires disclosure of any income received by the Vice-Chancellor for externally paid appointments. The Vice-Chancellor received £0 in the financial year 202</w:t>
      </w:r>
      <w:r w:rsidR="00392C9B">
        <w:rPr>
          <w:color w:val="auto"/>
        </w:rPr>
        <w:t>1</w:t>
      </w:r>
      <w:r w:rsidRPr="00955F49">
        <w:rPr>
          <w:color w:val="auto"/>
        </w:rPr>
        <w:t>/202</w:t>
      </w:r>
      <w:r w:rsidR="00392C9B">
        <w:rPr>
          <w:color w:val="auto"/>
        </w:rPr>
        <w:t>2</w:t>
      </w:r>
    </w:p>
    <w:p w14:paraId="2E9F85AA" w14:textId="6F604E6C" w:rsidR="004B1F7B" w:rsidRPr="00955F49" w:rsidRDefault="00503762" w:rsidP="00955F49">
      <w:pPr>
        <w:widowControl/>
        <w:adjustRightInd w:val="0"/>
        <w:rPr>
          <w:rFonts w:asciiTheme="minorHAnsi" w:eastAsiaTheme="minorHAnsi" w:hAnsiTheme="minorHAnsi" w:cs="OpenSans-Semibold"/>
          <w:b/>
          <w:color w:val="3668B3"/>
          <w:sz w:val="32"/>
          <w:szCs w:val="32"/>
          <w:lang w:eastAsia="en-US" w:bidi="ar-SA"/>
        </w:rPr>
      </w:pPr>
      <w:r w:rsidRPr="00955F49">
        <w:rPr>
          <w:rFonts w:asciiTheme="minorHAnsi" w:eastAsiaTheme="minorHAnsi" w:hAnsiTheme="minorHAnsi" w:cs="OpenSans-Semibold"/>
          <w:b/>
          <w:color w:val="3668B3"/>
          <w:sz w:val="32"/>
          <w:szCs w:val="32"/>
          <w:lang w:eastAsia="en-US" w:bidi="ar-SA"/>
        </w:rPr>
        <w:t xml:space="preserve">Senior staff pay review </w:t>
      </w:r>
    </w:p>
    <w:p w14:paraId="4A776FBE" w14:textId="77777777" w:rsidR="004B1F7B" w:rsidRPr="00171193" w:rsidRDefault="004B1F7B" w:rsidP="004B1F7B">
      <w:pPr>
        <w:adjustRightInd w:val="0"/>
        <w:ind w:left="720"/>
      </w:pPr>
    </w:p>
    <w:p w14:paraId="183FB425" w14:textId="56E969B8" w:rsidR="00A80A4D" w:rsidRDefault="00A80A4D" w:rsidP="004A3A4B">
      <w:pPr>
        <w:pStyle w:val="Papertext"/>
        <w:numPr>
          <w:ilvl w:val="0"/>
          <w:numId w:val="13"/>
        </w:numPr>
        <w:ind w:left="851" w:hanging="851"/>
        <w:rPr>
          <w:color w:val="auto"/>
        </w:rPr>
      </w:pPr>
      <w:r>
        <w:rPr>
          <w:color w:val="auto"/>
        </w:rPr>
        <w:t>The Senior Pay Review was conducted in line with the approach to remuneration for 202</w:t>
      </w:r>
      <w:r w:rsidR="00A54C75">
        <w:rPr>
          <w:color w:val="auto"/>
        </w:rPr>
        <w:t>2</w:t>
      </w:r>
      <w:r>
        <w:rPr>
          <w:color w:val="auto"/>
        </w:rPr>
        <w:t xml:space="preserve"> noted in para </w:t>
      </w:r>
      <w:r w:rsidR="00A54C75">
        <w:rPr>
          <w:color w:val="auto"/>
        </w:rPr>
        <w:t>8</w:t>
      </w:r>
      <w:r>
        <w:rPr>
          <w:color w:val="auto"/>
        </w:rPr>
        <w:t>.</w:t>
      </w:r>
    </w:p>
    <w:p w14:paraId="0824DBF0" w14:textId="51CA76EF" w:rsidR="00C07674" w:rsidRDefault="00955F49" w:rsidP="00C07674">
      <w:pPr>
        <w:pStyle w:val="Papertext"/>
        <w:numPr>
          <w:ilvl w:val="0"/>
          <w:numId w:val="13"/>
        </w:numPr>
        <w:spacing w:after="120"/>
        <w:ind w:left="851" w:hanging="851"/>
        <w:rPr>
          <w:color w:val="auto"/>
        </w:rPr>
      </w:pPr>
      <w:r w:rsidRPr="00955F49">
        <w:rPr>
          <w:color w:val="auto"/>
        </w:rPr>
        <w:t>As part of the Senior Pay Review, the committee noted a report on changes to and newly created senior staff roles over the last three years. The data indicated that there were no material increases in the overall headcount or the salary costs of the senior staff population. This gave the Committee assurance that the University had controls in place. The exercise will continue to be repeated annually</w:t>
      </w:r>
    </w:p>
    <w:p w14:paraId="6C9B4EB5" w14:textId="6D7F22BF" w:rsidR="00C07674" w:rsidRDefault="00C07674" w:rsidP="00C07674">
      <w:pPr>
        <w:widowControl/>
        <w:adjustRightInd w:val="0"/>
        <w:rPr>
          <w:rFonts w:asciiTheme="minorHAnsi" w:eastAsiaTheme="minorHAnsi" w:hAnsiTheme="minorHAnsi" w:cs="OpenSans-Semibold"/>
          <w:b/>
          <w:color w:val="3668B3"/>
          <w:sz w:val="32"/>
          <w:szCs w:val="32"/>
          <w:lang w:eastAsia="en-US" w:bidi="ar-SA"/>
        </w:rPr>
      </w:pPr>
      <w:r w:rsidRPr="00C07674">
        <w:rPr>
          <w:rFonts w:asciiTheme="minorHAnsi" w:eastAsiaTheme="minorHAnsi" w:hAnsiTheme="minorHAnsi" w:cs="OpenSans-Semibold"/>
          <w:b/>
          <w:color w:val="3668B3"/>
          <w:sz w:val="32"/>
          <w:szCs w:val="32"/>
          <w:lang w:eastAsia="en-US" w:bidi="ar-SA"/>
        </w:rPr>
        <w:t>Future Reward plan and Reward principles</w:t>
      </w:r>
    </w:p>
    <w:p w14:paraId="4164DA7E" w14:textId="77777777" w:rsidR="00C07674" w:rsidRPr="00C07674" w:rsidRDefault="00C07674" w:rsidP="00C07674">
      <w:pPr>
        <w:widowControl/>
        <w:adjustRightInd w:val="0"/>
        <w:rPr>
          <w:rFonts w:asciiTheme="minorHAnsi" w:eastAsiaTheme="minorHAnsi" w:hAnsiTheme="minorHAnsi" w:cs="OpenSans-Semibold"/>
          <w:b/>
          <w:color w:val="3668B3"/>
          <w:lang w:eastAsia="en-US" w:bidi="ar-SA"/>
        </w:rPr>
      </w:pPr>
    </w:p>
    <w:p w14:paraId="18DA9695" w14:textId="77777777" w:rsidR="00C07674" w:rsidRPr="00812381" w:rsidRDefault="00C07674" w:rsidP="00C07674">
      <w:pPr>
        <w:pStyle w:val="Papertext"/>
        <w:numPr>
          <w:ilvl w:val="0"/>
          <w:numId w:val="13"/>
        </w:numPr>
        <w:spacing w:after="120"/>
        <w:ind w:left="851" w:hanging="851"/>
        <w:rPr>
          <w:color w:val="auto"/>
        </w:rPr>
      </w:pPr>
      <w:r>
        <w:rPr>
          <w:color w:val="auto"/>
        </w:rPr>
        <w:t xml:space="preserve">The Committee approved a Future Reward Plan 2022-25 for the University on the recommendation of VCE.  Aligned to the University’s strategy, the Plan’s ambition is to introduce a total reward approach at the University by the end of 2025.  Realisation of the Plan provides clearly articulated benefits for both the OU as an employer and for university employees.  The Plan clarifies the employee deal: the promise the University makes to employees (including reward and benefits) in return for their commitment.  A newly created Reward Working Group has begun meeting and is tasked with overseeing the development of and ensuring the effective implementation of the Plan. </w:t>
      </w:r>
    </w:p>
    <w:p w14:paraId="58267C86" w14:textId="3B382C7D" w:rsidR="00955F49" w:rsidRPr="00955F49" w:rsidRDefault="00955F49" w:rsidP="00955F49">
      <w:pPr>
        <w:widowControl/>
        <w:adjustRightInd w:val="0"/>
        <w:rPr>
          <w:rFonts w:asciiTheme="minorHAnsi" w:eastAsiaTheme="minorHAnsi" w:hAnsiTheme="minorHAnsi" w:cs="OpenSans-Semibold"/>
          <w:b/>
          <w:color w:val="3668B3"/>
          <w:sz w:val="32"/>
          <w:szCs w:val="32"/>
          <w:lang w:eastAsia="en-US" w:bidi="ar-SA"/>
        </w:rPr>
      </w:pPr>
      <w:r w:rsidRPr="00955F49">
        <w:rPr>
          <w:rFonts w:asciiTheme="minorHAnsi" w:eastAsiaTheme="minorHAnsi" w:hAnsiTheme="minorHAnsi" w:cs="OpenSans-Semibold"/>
          <w:b/>
          <w:color w:val="3668B3"/>
          <w:sz w:val="32"/>
          <w:szCs w:val="32"/>
          <w:lang w:eastAsia="en-US" w:bidi="ar-SA"/>
        </w:rPr>
        <w:t>CUC S</w:t>
      </w:r>
      <w:r w:rsidR="00C07674">
        <w:rPr>
          <w:rFonts w:asciiTheme="minorHAnsi" w:eastAsiaTheme="minorHAnsi" w:hAnsiTheme="minorHAnsi" w:cs="OpenSans-Semibold"/>
          <w:b/>
          <w:color w:val="3668B3"/>
          <w:sz w:val="32"/>
          <w:szCs w:val="32"/>
          <w:lang w:eastAsia="en-US" w:bidi="ar-SA"/>
        </w:rPr>
        <w:t>enior</w:t>
      </w:r>
      <w:r w:rsidRPr="00955F49">
        <w:rPr>
          <w:rFonts w:asciiTheme="minorHAnsi" w:eastAsiaTheme="minorHAnsi" w:hAnsiTheme="minorHAnsi" w:cs="OpenSans-Semibold"/>
          <w:b/>
          <w:color w:val="3668B3"/>
          <w:sz w:val="32"/>
          <w:szCs w:val="32"/>
          <w:lang w:eastAsia="en-US" w:bidi="ar-SA"/>
        </w:rPr>
        <w:t xml:space="preserve"> S</w:t>
      </w:r>
      <w:r w:rsidR="00C07674">
        <w:rPr>
          <w:rFonts w:asciiTheme="minorHAnsi" w:eastAsiaTheme="minorHAnsi" w:hAnsiTheme="minorHAnsi" w:cs="OpenSans-Semibold"/>
          <w:b/>
          <w:color w:val="3668B3"/>
          <w:sz w:val="32"/>
          <w:szCs w:val="32"/>
          <w:lang w:eastAsia="en-US" w:bidi="ar-SA"/>
        </w:rPr>
        <w:t>taff</w:t>
      </w:r>
      <w:r w:rsidRPr="00955F49">
        <w:rPr>
          <w:rFonts w:asciiTheme="minorHAnsi" w:eastAsiaTheme="minorHAnsi" w:hAnsiTheme="minorHAnsi" w:cs="OpenSans-Semibold"/>
          <w:b/>
          <w:color w:val="3668B3"/>
          <w:sz w:val="32"/>
          <w:szCs w:val="32"/>
          <w:lang w:eastAsia="en-US" w:bidi="ar-SA"/>
        </w:rPr>
        <w:t xml:space="preserve"> R</w:t>
      </w:r>
      <w:r w:rsidR="00C07674">
        <w:rPr>
          <w:rFonts w:asciiTheme="minorHAnsi" w:eastAsiaTheme="minorHAnsi" w:hAnsiTheme="minorHAnsi" w:cs="OpenSans-Semibold"/>
          <w:b/>
          <w:color w:val="3668B3"/>
          <w:sz w:val="32"/>
          <w:szCs w:val="32"/>
          <w:lang w:eastAsia="en-US" w:bidi="ar-SA"/>
        </w:rPr>
        <w:t>emuneration</w:t>
      </w:r>
      <w:r w:rsidRPr="00955F49">
        <w:rPr>
          <w:rFonts w:asciiTheme="minorHAnsi" w:eastAsiaTheme="minorHAnsi" w:hAnsiTheme="minorHAnsi" w:cs="OpenSans-Semibold"/>
          <w:b/>
          <w:color w:val="3668B3"/>
          <w:sz w:val="32"/>
          <w:szCs w:val="32"/>
          <w:lang w:eastAsia="en-US" w:bidi="ar-SA"/>
        </w:rPr>
        <w:t xml:space="preserve"> C</w:t>
      </w:r>
      <w:r w:rsidR="00C07674">
        <w:rPr>
          <w:rFonts w:asciiTheme="minorHAnsi" w:eastAsiaTheme="minorHAnsi" w:hAnsiTheme="minorHAnsi" w:cs="OpenSans-Semibold"/>
          <w:b/>
          <w:color w:val="3668B3"/>
          <w:sz w:val="32"/>
          <w:szCs w:val="32"/>
          <w:lang w:eastAsia="en-US" w:bidi="ar-SA"/>
        </w:rPr>
        <w:t>ode</w:t>
      </w:r>
    </w:p>
    <w:p w14:paraId="3C5DED1D" w14:textId="77777777" w:rsidR="00AE7C41" w:rsidRDefault="00AE7C41" w:rsidP="004B1F7B">
      <w:pPr>
        <w:adjustRightInd w:val="0"/>
        <w:rPr>
          <w:b/>
          <w:szCs w:val="28"/>
        </w:rPr>
      </w:pPr>
    </w:p>
    <w:p w14:paraId="40E488FF" w14:textId="415D384C" w:rsidR="00955F49" w:rsidRPr="00812381" w:rsidRDefault="00C07674" w:rsidP="00955F49">
      <w:pPr>
        <w:pStyle w:val="Papertext"/>
        <w:numPr>
          <w:ilvl w:val="0"/>
          <w:numId w:val="13"/>
        </w:numPr>
        <w:ind w:left="851" w:hanging="851"/>
        <w:rPr>
          <w:color w:val="auto"/>
        </w:rPr>
      </w:pPr>
      <w:bookmarkStart w:id="3" w:name="_Hlk121140967"/>
      <w:r>
        <w:rPr>
          <w:color w:val="auto"/>
        </w:rPr>
        <w:t>Following the revision of the CUC HE Senior Staff Remuneration Code in November 2021, the Committee noted minor amendments that had been made to the Code and agreed that t</w:t>
      </w:r>
      <w:r w:rsidRPr="005C1C45">
        <w:rPr>
          <w:color w:val="auto"/>
        </w:rPr>
        <w:t xml:space="preserve">he OU </w:t>
      </w:r>
      <w:r>
        <w:rPr>
          <w:color w:val="auto"/>
        </w:rPr>
        <w:t>remained</w:t>
      </w:r>
      <w:r w:rsidRPr="005C1C45">
        <w:rPr>
          <w:color w:val="auto"/>
        </w:rPr>
        <w:t xml:space="preserve"> compliant with </w:t>
      </w:r>
      <w:r>
        <w:rPr>
          <w:color w:val="auto"/>
        </w:rPr>
        <w:t>it.</w:t>
      </w:r>
      <w:bookmarkEnd w:id="3"/>
    </w:p>
    <w:p w14:paraId="2DBD3583" w14:textId="104F100E" w:rsidR="004B1F7B" w:rsidRPr="00503762" w:rsidRDefault="00503762" w:rsidP="00503762">
      <w:pPr>
        <w:widowControl/>
        <w:adjustRightInd w:val="0"/>
        <w:rPr>
          <w:rFonts w:asciiTheme="minorHAnsi" w:eastAsiaTheme="minorHAnsi" w:hAnsiTheme="minorHAnsi" w:cs="OpenSans-Semibold"/>
          <w:b/>
          <w:color w:val="3668B3"/>
          <w:sz w:val="32"/>
          <w:szCs w:val="32"/>
          <w:lang w:eastAsia="en-US" w:bidi="ar-SA"/>
        </w:rPr>
      </w:pPr>
      <w:r w:rsidRPr="00503762">
        <w:rPr>
          <w:rFonts w:asciiTheme="minorHAnsi" w:eastAsiaTheme="minorHAnsi" w:hAnsiTheme="minorHAnsi" w:cs="OpenSans-Semibold"/>
          <w:b/>
          <w:color w:val="3668B3"/>
          <w:sz w:val="32"/>
          <w:szCs w:val="32"/>
          <w:lang w:eastAsia="en-US" w:bidi="ar-SA"/>
        </w:rPr>
        <w:t>Expenses</w:t>
      </w:r>
    </w:p>
    <w:p w14:paraId="4EBAAE0B" w14:textId="77777777" w:rsidR="004B1F7B" w:rsidRPr="00171193" w:rsidRDefault="004B1F7B" w:rsidP="004B1F7B">
      <w:pPr>
        <w:adjustRightInd w:val="0"/>
      </w:pPr>
    </w:p>
    <w:p w14:paraId="7A2FB6F7" w14:textId="66D40608" w:rsidR="00955F49" w:rsidRPr="00955F49" w:rsidRDefault="00955F49" w:rsidP="00955F49">
      <w:pPr>
        <w:pStyle w:val="Papertext"/>
        <w:numPr>
          <w:ilvl w:val="0"/>
          <w:numId w:val="13"/>
        </w:numPr>
        <w:ind w:left="851" w:hanging="851"/>
        <w:rPr>
          <w:color w:val="auto"/>
        </w:rPr>
      </w:pPr>
      <w:r w:rsidRPr="00955F49">
        <w:rPr>
          <w:color w:val="auto"/>
        </w:rPr>
        <w:t xml:space="preserve">In line with the University’s </w:t>
      </w:r>
      <w:hyperlink r:id="rId14" w:history="1">
        <w:r w:rsidRPr="000D7BFC">
          <w:rPr>
            <w:rStyle w:val="Hyperlink"/>
          </w:rPr>
          <w:t>Travel and Subsisten</w:t>
        </w:r>
        <w:r w:rsidRPr="000D7BFC">
          <w:rPr>
            <w:rStyle w:val="Hyperlink"/>
          </w:rPr>
          <w:t>c</w:t>
        </w:r>
        <w:r w:rsidRPr="000D7BFC">
          <w:rPr>
            <w:rStyle w:val="Hyperlink"/>
          </w:rPr>
          <w:t>e policy</w:t>
        </w:r>
      </w:hyperlink>
      <w:r w:rsidRPr="00955F49">
        <w:rPr>
          <w:color w:val="auto"/>
        </w:rPr>
        <w:t xml:space="preserve">, the Committee received the bi-annual report on the travel and subsistence expenditure of members of the Executive. </w:t>
      </w:r>
    </w:p>
    <w:p w14:paraId="138B1ABE" w14:textId="63796575" w:rsidR="00955F49" w:rsidRPr="00955F49" w:rsidRDefault="00955F49" w:rsidP="00955F49">
      <w:pPr>
        <w:pStyle w:val="Papertext"/>
        <w:numPr>
          <w:ilvl w:val="0"/>
          <w:numId w:val="13"/>
        </w:numPr>
        <w:ind w:left="851" w:hanging="851"/>
        <w:rPr>
          <w:color w:val="auto"/>
        </w:rPr>
      </w:pPr>
      <w:r w:rsidRPr="00955F49">
        <w:rPr>
          <w:color w:val="auto"/>
        </w:rPr>
        <w:t>The half-year report was presented in May 202</w:t>
      </w:r>
      <w:r w:rsidR="00C07674">
        <w:rPr>
          <w:color w:val="auto"/>
        </w:rPr>
        <w:t>2</w:t>
      </w:r>
      <w:r w:rsidRPr="00955F49">
        <w:rPr>
          <w:color w:val="auto"/>
        </w:rPr>
        <w:t xml:space="preserve"> and a full year report in October 202</w:t>
      </w:r>
      <w:r w:rsidR="00C07674">
        <w:rPr>
          <w:color w:val="auto"/>
        </w:rPr>
        <w:t>2</w:t>
      </w:r>
      <w:r w:rsidRPr="00955F49">
        <w:rPr>
          <w:color w:val="auto"/>
        </w:rPr>
        <w:t>. No concerns or remedial actions were recommended. A summary, by role title, will be published on the University’s Freedom of Information website.</w:t>
      </w:r>
    </w:p>
    <w:bookmarkEnd w:id="1"/>
    <w:p w14:paraId="6AB3B276" w14:textId="0AC81B12" w:rsidR="004B1F7B" w:rsidRPr="00F44FD8" w:rsidRDefault="004B1F7B" w:rsidP="00955F49">
      <w:pPr>
        <w:pStyle w:val="Papertext"/>
        <w:ind w:firstLine="0"/>
      </w:pPr>
    </w:p>
    <w:sectPr w:rsidR="004B1F7B" w:rsidRPr="00F44FD8" w:rsidSect="000A4EA5">
      <w:headerReference w:type="even" r:id="rId15"/>
      <w:headerReference w:type="default" r:id="rId16"/>
      <w:footerReference w:type="even" r:id="rId17"/>
      <w:footerReference w:type="default" r:id="rId18"/>
      <w:pgSz w:w="11910" w:h="16840"/>
      <w:pgMar w:top="1240" w:right="930" w:bottom="1320" w:left="1134" w:header="708" w:footer="52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ED8B8" w14:textId="77777777" w:rsidR="009347A6" w:rsidRDefault="009347A6">
      <w:r>
        <w:separator/>
      </w:r>
    </w:p>
  </w:endnote>
  <w:endnote w:type="continuationSeparator" w:id="0">
    <w:p w14:paraId="78401113" w14:textId="77777777" w:rsidR="009347A6" w:rsidRDefault="009347A6">
      <w:r>
        <w:continuationSeparator/>
      </w:r>
    </w:p>
  </w:endnote>
  <w:endnote w:type="continuationNotice" w:id="1">
    <w:p w14:paraId="2DCF438F" w14:textId="77777777" w:rsidR="009347A6" w:rsidRDefault="00934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Sans-Semibold">
    <w:panose1 w:val="00000000000000000000"/>
    <w:charset w:val="00"/>
    <w:family w:val="swiss"/>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ECE36" w14:textId="77777777" w:rsidR="00DB6C53" w:rsidRDefault="00DB6C53">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307D6940" wp14:editId="563B9843">
              <wp:simplePos x="0" y="0"/>
              <wp:positionH relativeFrom="page">
                <wp:posOffset>9322435</wp:posOffset>
              </wp:positionH>
              <wp:positionV relativeFrom="page">
                <wp:posOffset>7088505</wp:posOffset>
              </wp:positionV>
              <wp:extent cx="468630" cy="181610"/>
              <wp:effectExtent l="0" t="1905"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337EE" w14:textId="77777777" w:rsidR="00DB6C53" w:rsidRDefault="00DB6C53">
                          <w:pPr>
                            <w:pStyle w:val="BodyText"/>
                            <w:spacing w:before="13"/>
                            <w:ind w:left="20"/>
                          </w:pPr>
                          <w:r>
                            <w:t>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D6940" id="_x0000_t202" coordsize="21600,21600" o:spt="202" path="m,l,21600r21600,l21600,xe">
              <v:stroke joinstyle="miter"/>
              <v:path gradientshapeok="t" o:connecttype="rect"/>
            </v:shapetype>
            <v:shape id="Text Box 1" o:spid="_x0000_s1026" type="#_x0000_t202" style="position:absolute;margin-left:734.05pt;margin-top:558.15pt;width:36.9pt;height:1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" filled="f" stroked="f">
              <v:textbox inset="0,0,0,0">
                <w:txbxContent>
                  <w:p w14:paraId="3B3337EE" w14:textId="77777777" w:rsidR="00DB6C53" w:rsidRDefault="00DB6C53">
                    <w:pPr>
                      <w:pStyle w:val="BodyText"/>
                      <w:spacing w:before="13"/>
                      <w:ind w:left="20"/>
                    </w:pPr>
                    <w:r>
                      <w:t>Page 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71252"/>
      <w:docPartObj>
        <w:docPartGallery w:val="Page Numbers (Bottom of Page)"/>
        <w:docPartUnique/>
      </w:docPartObj>
    </w:sdtPr>
    <w:sdtEndPr/>
    <w:sdtContent>
      <w:sdt>
        <w:sdtPr>
          <w:id w:val="-1769616900"/>
          <w:docPartObj>
            <w:docPartGallery w:val="Page Numbers (Top of Page)"/>
            <w:docPartUnique/>
          </w:docPartObj>
        </w:sdtPr>
        <w:sdtEndPr/>
        <w:sdtContent>
          <w:p w14:paraId="1236AE1D" w14:textId="791CF436" w:rsidR="00145E94" w:rsidRDefault="00145E9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AC3F861" w14:textId="40AEEFEA" w:rsidR="00DB6C53" w:rsidRDefault="00DB6C5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99243" w14:textId="77777777" w:rsidR="009347A6" w:rsidRDefault="009347A6">
      <w:r>
        <w:separator/>
      </w:r>
    </w:p>
  </w:footnote>
  <w:footnote w:type="continuationSeparator" w:id="0">
    <w:p w14:paraId="06F40525" w14:textId="77777777" w:rsidR="009347A6" w:rsidRDefault="009347A6">
      <w:r>
        <w:continuationSeparator/>
      </w:r>
    </w:p>
  </w:footnote>
  <w:footnote w:type="continuationNotice" w:id="1">
    <w:p w14:paraId="014459E8" w14:textId="77777777" w:rsidR="009347A6" w:rsidRDefault="009347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6D52" w14:textId="77777777" w:rsidR="00DB6C53" w:rsidRDefault="00DB6C53">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D351" w14:textId="6AA4F83D" w:rsidR="00DB6C53" w:rsidRPr="00503762" w:rsidRDefault="00DB6C53" w:rsidP="0050376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E811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FE12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682F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DCD5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B6C2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FA3D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90D0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3AC0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C687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A0DD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914CF"/>
    <w:multiLevelType w:val="multilevel"/>
    <w:tmpl w:val="D5E069FE"/>
    <w:lvl w:ilvl="0">
      <w:start w:val="1"/>
      <w:numFmt w:val="lowerLetter"/>
      <w:lvlText w:val="%1)"/>
      <w:lvlJc w:val="left"/>
      <w:pPr>
        <w:ind w:left="1211" w:hanging="360"/>
      </w:pPr>
      <w:rPr>
        <w:rFonts w:hint="default"/>
      </w:rPr>
    </w:lvl>
    <w:lvl w:ilvl="1">
      <w:start w:val="1"/>
      <w:numFmt w:val="lowerLetter"/>
      <w:lvlText w:val="%2)"/>
      <w:lvlJc w:val="left"/>
      <w:pPr>
        <w:ind w:left="2426" w:hanging="855"/>
      </w:pPr>
      <w:rPr>
        <w:rFonts w:hint="default"/>
        <w:color w:val="000000"/>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11" w15:restartNumberingAfterBreak="0">
    <w:nsid w:val="151569AE"/>
    <w:multiLevelType w:val="multilevel"/>
    <w:tmpl w:val="F774A600"/>
    <w:lvl w:ilvl="0">
      <w:start w:val="1"/>
      <w:numFmt w:val="lowerLetter"/>
      <w:lvlText w:val="%1)"/>
      <w:lvlJc w:val="left"/>
      <w:pPr>
        <w:ind w:left="1211" w:hanging="360"/>
      </w:pPr>
      <w:rPr>
        <w:rFonts w:hint="default"/>
      </w:rPr>
    </w:lvl>
    <w:lvl w:ilvl="1">
      <w:start w:val="1"/>
      <w:numFmt w:val="lowerLetter"/>
      <w:lvlText w:val="%2)"/>
      <w:lvlJc w:val="left"/>
      <w:pPr>
        <w:ind w:left="2426" w:hanging="855"/>
      </w:pPr>
      <w:rPr>
        <w:rFonts w:hint="default"/>
        <w:color w:val="000000"/>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12" w15:restartNumberingAfterBreak="0">
    <w:nsid w:val="1B8447B3"/>
    <w:multiLevelType w:val="multilevel"/>
    <w:tmpl w:val="DE3E6A02"/>
    <w:lvl w:ilvl="0">
      <w:start w:val="1"/>
      <w:numFmt w:val="decimal"/>
      <w:lvlText w:val="%1"/>
      <w:lvlJc w:val="left"/>
      <w:pPr>
        <w:ind w:left="360" w:hanging="360"/>
      </w:pPr>
      <w:rPr>
        <w:rFonts w:hint="default"/>
      </w:rPr>
    </w:lvl>
    <w:lvl w:ilvl="1">
      <w:start w:val="1"/>
      <w:numFmt w:val="lowerLetter"/>
      <w:lvlText w:val="%2)"/>
      <w:lvlJc w:val="left"/>
      <w:pPr>
        <w:ind w:left="1575" w:hanging="855"/>
      </w:pPr>
      <w:rPr>
        <w:rFonts w:hint="default"/>
        <w:color w:val="00000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1E416626"/>
    <w:multiLevelType w:val="hybridMultilevel"/>
    <w:tmpl w:val="AA006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E42002"/>
    <w:multiLevelType w:val="multilevel"/>
    <w:tmpl w:val="399441D4"/>
    <w:lvl w:ilvl="0">
      <w:start w:val="1"/>
      <w:numFmt w:val="decimal"/>
      <w:lvlText w:val="%1"/>
      <w:lvlJc w:val="left"/>
      <w:pPr>
        <w:ind w:left="720" w:hanging="360"/>
      </w:pPr>
      <w:rPr>
        <w:rFonts w:hint="default"/>
      </w:rPr>
    </w:lvl>
    <w:lvl w:ilvl="1">
      <w:start w:val="1"/>
      <w:numFmt w:val="lowerLetter"/>
      <w:lvlText w:val="%2"/>
      <w:lvlJc w:val="left"/>
      <w:pPr>
        <w:ind w:left="1935" w:hanging="855"/>
      </w:pPr>
      <w:rPr>
        <w:rFonts w:hint="default"/>
        <w:color w:val="000000"/>
      </w:rPr>
    </w:lvl>
    <w:lvl w:ilvl="2">
      <w:start w:val="1"/>
      <w:numFmt w:val="lowerRoman"/>
      <w:lvlText w:val="%3"/>
      <w:lvlJc w:val="right"/>
      <w:pPr>
        <w:ind w:left="2160" w:hanging="180"/>
      </w:pPr>
      <w:rPr>
        <w:rFonts w:hint="default"/>
      </w:rPr>
    </w:lvl>
    <w:lvl w:ilvl="3">
      <w:start w:val="1"/>
      <w:numFmt w:val="bullet"/>
      <w:lvlText w:val="o"/>
      <w:lvlJc w:val="left"/>
      <w:pPr>
        <w:ind w:left="2880" w:hanging="360"/>
      </w:pPr>
      <w:rPr>
        <w:rFonts w:ascii="Courier New" w:hAnsi="Courier New" w:cs="Courier New" w:hint="default"/>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6854FFB"/>
    <w:multiLevelType w:val="hybridMultilevel"/>
    <w:tmpl w:val="40EE4A58"/>
    <w:lvl w:ilvl="0" w:tplc="34EE006C">
      <w:start w:val="1"/>
      <w:numFmt w:val="lowerRoman"/>
      <w:lvlText w:val="%1)"/>
      <w:lvlJc w:val="left"/>
      <w:pPr>
        <w:ind w:left="1931" w:hanging="360"/>
      </w:pPr>
      <w:rPr>
        <w:rFonts w:hint="default"/>
      </w:r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16" w15:restartNumberingAfterBreak="0">
    <w:nsid w:val="388B7E06"/>
    <w:multiLevelType w:val="multilevel"/>
    <w:tmpl w:val="08061930"/>
    <w:lvl w:ilvl="0">
      <w:start w:val="1"/>
      <w:numFmt w:val="lowerLetter"/>
      <w:lvlText w:val="%1)"/>
      <w:lvlJc w:val="left"/>
      <w:pPr>
        <w:ind w:left="1211" w:hanging="360"/>
      </w:pPr>
      <w:rPr>
        <w:rFonts w:hint="default"/>
      </w:rPr>
    </w:lvl>
    <w:lvl w:ilvl="1">
      <w:start w:val="1"/>
      <w:numFmt w:val="lowerLetter"/>
      <w:lvlText w:val="%2)"/>
      <w:lvlJc w:val="left"/>
      <w:pPr>
        <w:ind w:left="2426" w:hanging="855"/>
      </w:pPr>
      <w:rPr>
        <w:rFonts w:hint="default"/>
        <w:color w:val="000000"/>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17" w15:restartNumberingAfterBreak="0">
    <w:nsid w:val="4F261B4E"/>
    <w:multiLevelType w:val="multilevel"/>
    <w:tmpl w:val="646CF0B4"/>
    <w:lvl w:ilvl="0">
      <w:start w:val="1"/>
      <w:numFmt w:val="lowerLetter"/>
      <w:lvlText w:val="%1)"/>
      <w:lvlJc w:val="left"/>
      <w:pPr>
        <w:ind w:left="1211" w:hanging="360"/>
      </w:pPr>
      <w:rPr>
        <w:rFonts w:hint="default"/>
      </w:rPr>
    </w:lvl>
    <w:lvl w:ilvl="1">
      <w:start w:val="1"/>
      <w:numFmt w:val="lowerLetter"/>
      <w:lvlText w:val="%2)"/>
      <w:lvlJc w:val="left"/>
      <w:pPr>
        <w:ind w:left="2426" w:hanging="855"/>
      </w:pPr>
      <w:rPr>
        <w:rFonts w:hint="default"/>
        <w:color w:val="000000"/>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18" w15:restartNumberingAfterBreak="0">
    <w:nsid w:val="4F361425"/>
    <w:multiLevelType w:val="multilevel"/>
    <w:tmpl w:val="08B8B54C"/>
    <w:lvl w:ilvl="0">
      <w:start w:val="1"/>
      <w:numFmt w:val="lowerLetter"/>
      <w:lvlText w:val="%1)"/>
      <w:lvlJc w:val="left"/>
      <w:pPr>
        <w:ind w:left="1211" w:hanging="360"/>
      </w:pPr>
      <w:rPr>
        <w:rFonts w:hint="default"/>
      </w:rPr>
    </w:lvl>
    <w:lvl w:ilvl="1">
      <w:start w:val="1"/>
      <w:numFmt w:val="lowerLetter"/>
      <w:lvlText w:val="%2)"/>
      <w:lvlJc w:val="left"/>
      <w:pPr>
        <w:ind w:left="2426" w:hanging="855"/>
      </w:pPr>
      <w:rPr>
        <w:rFonts w:hint="default"/>
        <w:color w:val="000000"/>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19" w15:restartNumberingAfterBreak="0">
    <w:nsid w:val="51027B7B"/>
    <w:multiLevelType w:val="hybridMultilevel"/>
    <w:tmpl w:val="D1FC6F34"/>
    <w:lvl w:ilvl="0" w:tplc="8B42CE94">
      <w:start w:val="1"/>
      <w:numFmt w:val="decimal"/>
      <w:lvlText w:val="%1."/>
      <w:lvlJc w:val="left"/>
      <w:pPr>
        <w:ind w:left="479" w:hanging="360"/>
      </w:pPr>
      <w:rPr>
        <w:rFonts w:ascii="Arial" w:eastAsia="Arial" w:hAnsi="Arial" w:cs="Arial" w:hint="default"/>
        <w:spacing w:val="-1"/>
        <w:w w:val="100"/>
        <w:sz w:val="22"/>
        <w:szCs w:val="22"/>
        <w:lang w:val="en-GB" w:eastAsia="en-GB" w:bidi="en-GB"/>
      </w:rPr>
    </w:lvl>
    <w:lvl w:ilvl="1" w:tplc="A0EC216E">
      <w:numFmt w:val="bullet"/>
      <w:lvlText w:val=""/>
      <w:lvlJc w:val="left"/>
      <w:pPr>
        <w:ind w:left="840" w:hanging="361"/>
      </w:pPr>
      <w:rPr>
        <w:rFonts w:ascii="Symbol" w:eastAsia="Symbol" w:hAnsi="Symbol" w:cs="Symbol" w:hint="default"/>
        <w:w w:val="100"/>
        <w:sz w:val="22"/>
        <w:szCs w:val="22"/>
        <w:lang w:val="en-GB" w:eastAsia="en-GB" w:bidi="en-GB"/>
      </w:rPr>
    </w:lvl>
    <w:lvl w:ilvl="2" w:tplc="F580C6B8">
      <w:numFmt w:val="bullet"/>
      <w:lvlText w:val="•"/>
      <w:lvlJc w:val="left"/>
      <w:pPr>
        <w:ind w:left="2333" w:hanging="361"/>
      </w:pPr>
      <w:rPr>
        <w:rFonts w:hint="default"/>
        <w:lang w:val="en-GB" w:eastAsia="en-GB" w:bidi="en-GB"/>
      </w:rPr>
    </w:lvl>
    <w:lvl w:ilvl="3" w:tplc="02140850">
      <w:numFmt w:val="bullet"/>
      <w:lvlText w:val="•"/>
      <w:lvlJc w:val="left"/>
      <w:pPr>
        <w:ind w:left="3826" w:hanging="361"/>
      </w:pPr>
      <w:rPr>
        <w:rFonts w:hint="default"/>
        <w:lang w:val="en-GB" w:eastAsia="en-GB" w:bidi="en-GB"/>
      </w:rPr>
    </w:lvl>
    <w:lvl w:ilvl="4" w:tplc="60900FF4">
      <w:numFmt w:val="bullet"/>
      <w:lvlText w:val="•"/>
      <w:lvlJc w:val="left"/>
      <w:pPr>
        <w:ind w:left="5319" w:hanging="361"/>
      </w:pPr>
      <w:rPr>
        <w:rFonts w:hint="default"/>
        <w:lang w:val="en-GB" w:eastAsia="en-GB" w:bidi="en-GB"/>
      </w:rPr>
    </w:lvl>
    <w:lvl w:ilvl="5" w:tplc="7B8043F2">
      <w:numFmt w:val="bullet"/>
      <w:lvlText w:val="•"/>
      <w:lvlJc w:val="left"/>
      <w:pPr>
        <w:ind w:left="6812" w:hanging="361"/>
      </w:pPr>
      <w:rPr>
        <w:rFonts w:hint="default"/>
        <w:lang w:val="en-GB" w:eastAsia="en-GB" w:bidi="en-GB"/>
      </w:rPr>
    </w:lvl>
    <w:lvl w:ilvl="6" w:tplc="14EC296E">
      <w:numFmt w:val="bullet"/>
      <w:lvlText w:val="•"/>
      <w:lvlJc w:val="left"/>
      <w:pPr>
        <w:ind w:left="8305" w:hanging="361"/>
      </w:pPr>
      <w:rPr>
        <w:rFonts w:hint="default"/>
        <w:lang w:val="en-GB" w:eastAsia="en-GB" w:bidi="en-GB"/>
      </w:rPr>
    </w:lvl>
    <w:lvl w:ilvl="7" w:tplc="AE28A7DE">
      <w:numFmt w:val="bullet"/>
      <w:lvlText w:val="•"/>
      <w:lvlJc w:val="left"/>
      <w:pPr>
        <w:ind w:left="9798" w:hanging="361"/>
      </w:pPr>
      <w:rPr>
        <w:rFonts w:hint="default"/>
        <w:lang w:val="en-GB" w:eastAsia="en-GB" w:bidi="en-GB"/>
      </w:rPr>
    </w:lvl>
    <w:lvl w:ilvl="8" w:tplc="6484800C">
      <w:numFmt w:val="bullet"/>
      <w:lvlText w:val="•"/>
      <w:lvlJc w:val="left"/>
      <w:pPr>
        <w:ind w:left="11292" w:hanging="361"/>
      </w:pPr>
      <w:rPr>
        <w:rFonts w:hint="default"/>
        <w:lang w:val="en-GB" w:eastAsia="en-GB" w:bidi="en-GB"/>
      </w:rPr>
    </w:lvl>
  </w:abstractNum>
  <w:abstractNum w:abstractNumId="20" w15:restartNumberingAfterBreak="0">
    <w:nsid w:val="51B13D7A"/>
    <w:multiLevelType w:val="multilevel"/>
    <w:tmpl w:val="605ADD2A"/>
    <w:lvl w:ilvl="0">
      <w:start w:val="1"/>
      <w:numFmt w:val="lowerLetter"/>
      <w:lvlText w:val="%1)"/>
      <w:lvlJc w:val="left"/>
      <w:pPr>
        <w:ind w:left="1211" w:hanging="360"/>
      </w:pPr>
      <w:rPr>
        <w:rFonts w:hint="default"/>
      </w:rPr>
    </w:lvl>
    <w:lvl w:ilvl="1">
      <w:start w:val="1"/>
      <w:numFmt w:val="lowerLetter"/>
      <w:lvlText w:val="%2)"/>
      <w:lvlJc w:val="left"/>
      <w:pPr>
        <w:ind w:left="2426" w:hanging="855"/>
      </w:pPr>
      <w:rPr>
        <w:rFonts w:hint="default"/>
        <w:color w:val="000000"/>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21" w15:restartNumberingAfterBreak="0">
    <w:nsid w:val="6175207A"/>
    <w:multiLevelType w:val="multilevel"/>
    <w:tmpl w:val="3D705D9A"/>
    <w:lvl w:ilvl="0">
      <w:start w:val="1"/>
      <w:numFmt w:val="decimal"/>
      <w:lvlText w:val="%1"/>
      <w:lvlJc w:val="left"/>
      <w:pPr>
        <w:ind w:left="720" w:hanging="360"/>
      </w:pPr>
      <w:rPr>
        <w:rFonts w:hint="default"/>
      </w:rPr>
    </w:lvl>
    <w:lvl w:ilvl="1">
      <w:start w:val="1"/>
      <w:numFmt w:val="lowerLetter"/>
      <w:lvlText w:val="%2"/>
      <w:lvlJc w:val="left"/>
      <w:pPr>
        <w:ind w:left="1935" w:hanging="855"/>
      </w:pPr>
      <w:rPr>
        <w:rFonts w:hint="default"/>
        <w:color w:val="00000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59E2B92"/>
    <w:multiLevelType w:val="multilevel"/>
    <w:tmpl w:val="676AB446"/>
    <w:lvl w:ilvl="0">
      <w:start w:val="1"/>
      <w:numFmt w:val="lowerLetter"/>
      <w:lvlText w:val="%1)"/>
      <w:lvlJc w:val="left"/>
      <w:pPr>
        <w:ind w:left="1211" w:hanging="360"/>
      </w:pPr>
      <w:rPr>
        <w:rFonts w:hint="default"/>
      </w:rPr>
    </w:lvl>
    <w:lvl w:ilvl="1">
      <w:start w:val="1"/>
      <w:numFmt w:val="lowerLetter"/>
      <w:lvlText w:val="%2)"/>
      <w:lvlJc w:val="left"/>
      <w:pPr>
        <w:ind w:left="2426" w:hanging="855"/>
      </w:pPr>
      <w:rPr>
        <w:rFonts w:hint="default"/>
        <w:color w:val="000000"/>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23" w15:restartNumberingAfterBreak="0">
    <w:nsid w:val="6F8A56A2"/>
    <w:multiLevelType w:val="multilevel"/>
    <w:tmpl w:val="9612A832"/>
    <w:lvl w:ilvl="0">
      <w:start w:val="1"/>
      <w:numFmt w:val="lowerLetter"/>
      <w:lvlText w:val="%1)"/>
      <w:lvlJc w:val="left"/>
      <w:pPr>
        <w:ind w:left="360" w:hanging="360"/>
      </w:pPr>
      <w:rPr>
        <w:rFonts w:hint="default"/>
      </w:rPr>
    </w:lvl>
    <w:lvl w:ilvl="1">
      <w:start w:val="1"/>
      <w:numFmt w:val="lowerLetter"/>
      <w:lvlText w:val="%2)"/>
      <w:lvlJc w:val="left"/>
      <w:pPr>
        <w:ind w:left="1575" w:hanging="855"/>
      </w:pPr>
      <w:rPr>
        <w:rFonts w:hint="default"/>
        <w:color w:val="00000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14"/>
  </w:num>
  <w:num w:numId="16">
    <w:abstractNumId w:val="20"/>
  </w:num>
  <w:num w:numId="17">
    <w:abstractNumId w:val="22"/>
  </w:num>
  <w:num w:numId="18">
    <w:abstractNumId w:val="17"/>
  </w:num>
  <w:num w:numId="19">
    <w:abstractNumId w:val="18"/>
  </w:num>
  <w:num w:numId="20">
    <w:abstractNumId w:val="10"/>
  </w:num>
  <w:num w:numId="21">
    <w:abstractNumId w:val="16"/>
  </w:num>
  <w:num w:numId="22">
    <w:abstractNumId w:val="15"/>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85"/>
    <w:rsid w:val="00020FD2"/>
    <w:rsid w:val="00050476"/>
    <w:rsid w:val="00077FB6"/>
    <w:rsid w:val="00095571"/>
    <w:rsid w:val="00095CCA"/>
    <w:rsid w:val="00097276"/>
    <w:rsid w:val="000A02B4"/>
    <w:rsid w:val="000A4EA5"/>
    <w:rsid w:val="000A556C"/>
    <w:rsid w:val="000B46E5"/>
    <w:rsid w:val="000C3A87"/>
    <w:rsid w:val="000C6291"/>
    <w:rsid w:val="000D7BFC"/>
    <w:rsid w:val="000E1800"/>
    <w:rsid w:val="000F05F4"/>
    <w:rsid w:val="000F2545"/>
    <w:rsid w:val="000F3176"/>
    <w:rsid w:val="00101AE3"/>
    <w:rsid w:val="001066F4"/>
    <w:rsid w:val="001115A3"/>
    <w:rsid w:val="001134B3"/>
    <w:rsid w:val="0012766E"/>
    <w:rsid w:val="00145E94"/>
    <w:rsid w:val="00157399"/>
    <w:rsid w:val="0016174A"/>
    <w:rsid w:val="00161BD5"/>
    <w:rsid w:val="00164ADF"/>
    <w:rsid w:val="001755ED"/>
    <w:rsid w:val="00181F41"/>
    <w:rsid w:val="001832E9"/>
    <w:rsid w:val="00185620"/>
    <w:rsid w:val="00186336"/>
    <w:rsid w:val="001A7D0A"/>
    <w:rsid w:val="001B18B5"/>
    <w:rsid w:val="001B246A"/>
    <w:rsid w:val="001B763C"/>
    <w:rsid w:val="001C45A1"/>
    <w:rsid w:val="001D3FB8"/>
    <w:rsid w:val="00202141"/>
    <w:rsid w:val="00211F9E"/>
    <w:rsid w:val="00212AD6"/>
    <w:rsid w:val="00217ADD"/>
    <w:rsid w:val="00220054"/>
    <w:rsid w:val="00222BA0"/>
    <w:rsid w:val="00227458"/>
    <w:rsid w:val="00230111"/>
    <w:rsid w:val="00257644"/>
    <w:rsid w:val="002614DD"/>
    <w:rsid w:val="00273FAE"/>
    <w:rsid w:val="00296F29"/>
    <w:rsid w:val="002A0D83"/>
    <w:rsid w:val="002A1F67"/>
    <w:rsid w:val="002B4493"/>
    <w:rsid w:val="002D0629"/>
    <w:rsid w:val="002D07FA"/>
    <w:rsid w:val="002D626C"/>
    <w:rsid w:val="002E0A50"/>
    <w:rsid w:val="002E1554"/>
    <w:rsid w:val="002E45D0"/>
    <w:rsid w:val="002E4902"/>
    <w:rsid w:val="002E4BB4"/>
    <w:rsid w:val="00303296"/>
    <w:rsid w:val="00304E85"/>
    <w:rsid w:val="003178BE"/>
    <w:rsid w:val="003179F7"/>
    <w:rsid w:val="00321C6F"/>
    <w:rsid w:val="00342515"/>
    <w:rsid w:val="0035589F"/>
    <w:rsid w:val="00355F25"/>
    <w:rsid w:val="0036553C"/>
    <w:rsid w:val="003711EE"/>
    <w:rsid w:val="00383ABF"/>
    <w:rsid w:val="00392C9B"/>
    <w:rsid w:val="003B7F35"/>
    <w:rsid w:val="003D7C99"/>
    <w:rsid w:val="003E6945"/>
    <w:rsid w:val="00421823"/>
    <w:rsid w:val="0042512E"/>
    <w:rsid w:val="004301BD"/>
    <w:rsid w:val="0043476F"/>
    <w:rsid w:val="00442619"/>
    <w:rsid w:val="0044401B"/>
    <w:rsid w:val="00456936"/>
    <w:rsid w:val="00460846"/>
    <w:rsid w:val="00484387"/>
    <w:rsid w:val="00494A2C"/>
    <w:rsid w:val="004A3A4B"/>
    <w:rsid w:val="004B1F7B"/>
    <w:rsid w:val="004D3891"/>
    <w:rsid w:val="004F2922"/>
    <w:rsid w:val="004F6BEF"/>
    <w:rsid w:val="00503762"/>
    <w:rsid w:val="00525BEC"/>
    <w:rsid w:val="00532EB8"/>
    <w:rsid w:val="00534619"/>
    <w:rsid w:val="00534D7C"/>
    <w:rsid w:val="0054046E"/>
    <w:rsid w:val="005510C9"/>
    <w:rsid w:val="00564B6E"/>
    <w:rsid w:val="0057311A"/>
    <w:rsid w:val="00576FA4"/>
    <w:rsid w:val="00583CB7"/>
    <w:rsid w:val="005848C8"/>
    <w:rsid w:val="00587087"/>
    <w:rsid w:val="00590622"/>
    <w:rsid w:val="00595C59"/>
    <w:rsid w:val="005B2885"/>
    <w:rsid w:val="005C69CC"/>
    <w:rsid w:val="005D1B39"/>
    <w:rsid w:val="005D6E70"/>
    <w:rsid w:val="005E4079"/>
    <w:rsid w:val="005F0D0E"/>
    <w:rsid w:val="00600542"/>
    <w:rsid w:val="0061008E"/>
    <w:rsid w:val="0061536B"/>
    <w:rsid w:val="006231CE"/>
    <w:rsid w:val="00627498"/>
    <w:rsid w:val="00640522"/>
    <w:rsid w:val="00641686"/>
    <w:rsid w:val="00643229"/>
    <w:rsid w:val="006432D9"/>
    <w:rsid w:val="00644235"/>
    <w:rsid w:val="00657368"/>
    <w:rsid w:val="006610A7"/>
    <w:rsid w:val="00663F09"/>
    <w:rsid w:val="00675F79"/>
    <w:rsid w:val="00690CFA"/>
    <w:rsid w:val="00692DB8"/>
    <w:rsid w:val="006953BB"/>
    <w:rsid w:val="006973CB"/>
    <w:rsid w:val="006B271D"/>
    <w:rsid w:val="006B3797"/>
    <w:rsid w:val="006C3C81"/>
    <w:rsid w:val="006C7F61"/>
    <w:rsid w:val="006D0A39"/>
    <w:rsid w:val="006D1A95"/>
    <w:rsid w:val="006D4FB2"/>
    <w:rsid w:val="006D6FEC"/>
    <w:rsid w:val="006F1690"/>
    <w:rsid w:val="0071113D"/>
    <w:rsid w:val="00712722"/>
    <w:rsid w:val="007156C5"/>
    <w:rsid w:val="00735B34"/>
    <w:rsid w:val="007404D6"/>
    <w:rsid w:val="007626C8"/>
    <w:rsid w:val="00783EBC"/>
    <w:rsid w:val="007956A2"/>
    <w:rsid w:val="007A5A17"/>
    <w:rsid w:val="007B5DCC"/>
    <w:rsid w:val="007C018C"/>
    <w:rsid w:val="007D101D"/>
    <w:rsid w:val="007D5414"/>
    <w:rsid w:val="007E5602"/>
    <w:rsid w:val="007F1F4B"/>
    <w:rsid w:val="007F4065"/>
    <w:rsid w:val="00820CB5"/>
    <w:rsid w:val="008242CC"/>
    <w:rsid w:val="008252F2"/>
    <w:rsid w:val="00844B88"/>
    <w:rsid w:val="008503A1"/>
    <w:rsid w:val="008548C9"/>
    <w:rsid w:val="00857056"/>
    <w:rsid w:val="00857070"/>
    <w:rsid w:val="0086321D"/>
    <w:rsid w:val="00864124"/>
    <w:rsid w:val="008662FB"/>
    <w:rsid w:val="008913E8"/>
    <w:rsid w:val="008A12D9"/>
    <w:rsid w:val="008A1761"/>
    <w:rsid w:val="008A2432"/>
    <w:rsid w:val="008A3325"/>
    <w:rsid w:val="008A6328"/>
    <w:rsid w:val="008B2484"/>
    <w:rsid w:val="008D2E32"/>
    <w:rsid w:val="008D3354"/>
    <w:rsid w:val="008D369F"/>
    <w:rsid w:val="008D4E46"/>
    <w:rsid w:val="00903E7A"/>
    <w:rsid w:val="00904637"/>
    <w:rsid w:val="00904A63"/>
    <w:rsid w:val="00907D92"/>
    <w:rsid w:val="00927E1D"/>
    <w:rsid w:val="009347A6"/>
    <w:rsid w:val="00936C3B"/>
    <w:rsid w:val="00952D6D"/>
    <w:rsid w:val="00955F49"/>
    <w:rsid w:val="00961F7E"/>
    <w:rsid w:val="00962664"/>
    <w:rsid w:val="00986DFA"/>
    <w:rsid w:val="009A7089"/>
    <w:rsid w:val="009A7D59"/>
    <w:rsid w:val="009B2800"/>
    <w:rsid w:val="009C0CC3"/>
    <w:rsid w:val="009D34F0"/>
    <w:rsid w:val="009E0D26"/>
    <w:rsid w:val="009E7576"/>
    <w:rsid w:val="009F57BF"/>
    <w:rsid w:val="00A076E5"/>
    <w:rsid w:val="00A12A46"/>
    <w:rsid w:val="00A1626B"/>
    <w:rsid w:val="00A21659"/>
    <w:rsid w:val="00A45ACB"/>
    <w:rsid w:val="00A54C75"/>
    <w:rsid w:val="00A554DC"/>
    <w:rsid w:val="00A65768"/>
    <w:rsid w:val="00A80A4D"/>
    <w:rsid w:val="00AA0F1A"/>
    <w:rsid w:val="00AA31CA"/>
    <w:rsid w:val="00AA467E"/>
    <w:rsid w:val="00AC4B10"/>
    <w:rsid w:val="00AC7269"/>
    <w:rsid w:val="00AE7609"/>
    <w:rsid w:val="00AE7C41"/>
    <w:rsid w:val="00B17D6B"/>
    <w:rsid w:val="00B33E2D"/>
    <w:rsid w:val="00B36700"/>
    <w:rsid w:val="00B37A9E"/>
    <w:rsid w:val="00B476B0"/>
    <w:rsid w:val="00B52A15"/>
    <w:rsid w:val="00B60F8F"/>
    <w:rsid w:val="00B763B1"/>
    <w:rsid w:val="00B80C1B"/>
    <w:rsid w:val="00B83D70"/>
    <w:rsid w:val="00B91538"/>
    <w:rsid w:val="00B97278"/>
    <w:rsid w:val="00BC48A9"/>
    <w:rsid w:val="00BC6BB6"/>
    <w:rsid w:val="00BD06E5"/>
    <w:rsid w:val="00BE06CF"/>
    <w:rsid w:val="00BF2310"/>
    <w:rsid w:val="00C0655D"/>
    <w:rsid w:val="00C06620"/>
    <w:rsid w:val="00C07674"/>
    <w:rsid w:val="00C57AE5"/>
    <w:rsid w:val="00C636C8"/>
    <w:rsid w:val="00C7110E"/>
    <w:rsid w:val="00C82FD3"/>
    <w:rsid w:val="00C83503"/>
    <w:rsid w:val="00C962DD"/>
    <w:rsid w:val="00CB72FE"/>
    <w:rsid w:val="00CB7E6E"/>
    <w:rsid w:val="00CC0509"/>
    <w:rsid w:val="00CC2A0E"/>
    <w:rsid w:val="00CC69A3"/>
    <w:rsid w:val="00CD02B0"/>
    <w:rsid w:val="00CD0AA5"/>
    <w:rsid w:val="00CD2B69"/>
    <w:rsid w:val="00CD7EFA"/>
    <w:rsid w:val="00CE0488"/>
    <w:rsid w:val="00CF2A75"/>
    <w:rsid w:val="00CF66D2"/>
    <w:rsid w:val="00CF77AA"/>
    <w:rsid w:val="00D05DD7"/>
    <w:rsid w:val="00D06176"/>
    <w:rsid w:val="00D13E4B"/>
    <w:rsid w:val="00D175FA"/>
    <w:rsid w:val="00D24E24"/>
    <w:rsid w:val="00D334C3"/>
    <w:rsid w:val="00D34BE8"/>
    <w:rsid w:val="00D4201A"/>
    <w:rsid w:val="00D46FBC"/>
    <w:rsid w:val="00D61B6A"/>
    <w:rsid w:val="00D70746"/>
    <w:rsid w:val="00D71645"/>
    <w:rsid w:val="00D71C42"/>
    <w:rsid w:val="00D73043"/>
    <w:rsid w:val="00D91B1B"/>
    <w:rsid w:val="00D93315"/>
    <w:rsid w:val="00DA14B2"/>
    <w:rsid w:val="00DA583A"/>
    <w:rsid w:val="00DB6C53"/>
    <w:rsid w:val="00DD5BCA"/>
    <w:rsid w:val="00DE4BD4"/>
    <w:rsid w:val="00E00F80"/>
    <w:rsid w:val="00E1246F"/>
    <w:rsid w:val="00E21FCB"/>
    <w:rsid w:val="00E303B8"/>
    <w:rsid w:val="00E3797C"/>
    <w:rsid w:val="00E501D9"/>
    <w:rsid w:val="00E56CC7"/>
    <w:rsid w:val="00E57B53"/>
    <w:rsid w:val="00E63546"/>
    <w:rsid w:val="00E6372B"/>
    <w:rsid w:val="00E66AE6"/>
    <w:rsid w:val="00E85092"/>
    <w:rsid w:val="00E87CBB"/>
    <w:rsid w:val="00E900BE"/>
    <w:rsid w:val="00EA1D29"/>
    <w:rsid w:val="00EA43D0"/>
    <w:rsid w:val="00EA7C7D"/>
    <w:rsid w:val="00EC1CF0"/>
    <w:rsid w:val="00ED0F58"/>
    <w:rsid w:val="00EE45AC"/>
    <w:rsid w:val="00EE7135"/>
    <w:rsid w:val="00EE7E63"/>
    <w:rsid w:val="00EF5C02"/>
    <w:rsid w:val="00F0225C"/>
    <w:rsid w:val="00F21F29"/>
    <w:rsid w:val="00F4449A"/>
    <w:rsid w:val="00F61F3E"/>
    <w:rsid w:val="00F6785C"/>
    <w:rsid w:val="00F72FBD"/>
    <w:rsid w:val="00F7426E"/>
    <w:rsid w:val="00F76B41"/>
    <w:rsid w:val="00F91A3D"/>
    <w:rsid w:val="00F947B4"/>
    <w:rsid w:val="00F96271"/>
    <w:rsid w:val="00F97C89"/>
    <w:rsid w:val="00FA0311"/>
    <w:rsid w:val="00FB2D5E"/>
    <w:rsid w:val="00FB6773"/>
    <w:rsid w:val="00FC782F"/>
    <w:rsid w:val="00FE2342"/>
    <w:rsid w:val="00FF5953"/>
    <w:rsid w:val="091182D5"/>
    <w:rsid w:val="5BDDF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9502AE6"/>
  <w15:docId w15:val="{4B623733-1CA1-4E2D-BA08-58C5EB32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C3C81"/>
    <w:rPr>
      <w:rFonts w:ascii="Arial" w:eastAsia="Arial" w:hAnsi="Arial" w:cs="Arial"/>
      <w:lang w:val="en-GB" w:eastAsia="en-GB" w:bidi="en-GB"/>
    </w:rPr>
  </w:style>
  <w:style w:type="paragraph" w:styleId="Heading1">
    <w:name w:val="heading 1"/>
    <w:basedOn w:val="Normal"/>
    <w:uiPriority w:val="1"/>
    <w:qFormat/>
    <w:pPr>
      <w:ind w:left="20"/>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479" w:hanging="360"/>
    </w:pPr>
  </w:style>
  <w:style w:type="paragraph" w:customStyle="1" w:styleId="TableParagraph">
    <w:name w:val="Table Paragraph"/>
    <w:basedOn w:val="Normal"/>
    <w:uiPriority w:val="1"/>
    <w:qFormat/>
    <w:pPr>
      <w:spacing w:line="248" w:lineRule="exact"/>
      <w:ind w:left="107"/>
    </w:pPr>
    <w:rPr>
      <w:rFonts w:ascii="Calibri" w:eastAsia="Calibri" w:hAnsi="Calibri" w:cs="Calibri"/>
    </w:rPr>
  </w:style>
  <w:style w:type="paragraph" w:styleId="Header">
    <w:name w:val="header"/>
    <w:basedOn w:val="Normal"/>
    <w:link w:val="HeaderChar"/>
    <w:uiPriority w:val="99"/>
    <w:unhideWhenUsed/>
    <w:rsid w:val="00857056"/>
    <w:pPr>
      <w:tabs>
        <w:tab w:val="center" w:pos="4513"/>
        <w:tab w:val="right" w:pos="9026"/>
      </w:tabs>
    </w:pPr>
  </w:style>
  <w:style w:type="character" w:customStyle="1" w:styleId="HeaderChar">
    <w:name w:val="Header Char"/>
    <w:basedOn w:val="DefaultParagraphFont"/>
    <w:link w:val="Header"/>
    <w:uiPriority w:val="99"/>
    <w:rsid w:val="00857056"/>
    <w:rPr>
      <w:rFonts w:ascii="Arial" w:eastAsia="Arial" w:hAnsi="Arial" w:cs="Arial"/>
      <w:lang w:val="en-GB" w:eastAsia="en-GB" w:bidi="en-GB"/>
    </w:rPr>
  </w:style>
  <w:style w:type="paragraph" w:styleId="Footer">
    <w:name w:val="footer"/>
    <w:basedOn w:val="Normal"/>
    <w:link w:val="FooterChar"/>
    <w:uiPriority w:val="99"/>
    <w:unhideWhenUsed/>
    <w:rsid w:val="00857056"/>
    <w:pPr>
      <w:tabs>
        <w:tab w:val="center" w:pos="4513"/>
        <w:tab w:val="right" w:pos="9026"/>
      </w:tabs>
    </w:pPr>
  </w:style>
  <w:style w:type="character" w:customStyle="1" w:styleId="FooterChar">
    <w:name w:val="Footer Char"/>
    <w:basedOn w:val="DefaultParagraphFont"/>
    <w:link w:val="Footer"/>
    <w:uiPriority w:val="99"/>
    <w:rsid w:val="00857056"/>
    <w:rPr>
      <w:rFonts w:ascii="Arial" w:eastAsia="Arial" w:hAnsi="Arial" w:cs="Arial"/>
      <w:lang w:val="en-GB" w:eastAsia="en-GB" w:bidi="en-GB"/>
    </w:rPr>
  </w:style>
  <w:style w:type="paragraph" w:customStyle="1" w:styleId="PaperItem">
    <w:name w:val="Paper Item"/>
    <w:basedOn w:val="Normal"/>
    <w:link w:val="PaperItemCharChar"/>
    <w:rsid w:val="005848C8"/>
    <w:pPr>
      <w:widowControl/>
      <w:tabs>
        <w:tab w:val="right" w:pos="9639"/>
      </w:tabs>
      <w:autoSpaceDE/>
      <w:autoSpaceDN/>
      <w:spacing w:before="220" w:after="220"/>
    </w:pPr>
    <w:rPr>
      <w:rFonts w:eastAsia="Times New Roman"/>
      <w:b/>
      <w:caps/>
      <w:color w:val="000000"/>
      <w:szCs w:val="20"/>
      <w:lang w:eastAsia="ja-JP" w:bidi="ar-SA"/>
    </w:rPr>
  </w:style>
  <w:style w:type="character" w:customStyle="1" w:styleId="BodyTextChar">
    <w:name w:val="Body Text Char"/>
    <w:basedOn w:val="DefaultParagraphFont"/>
    <w:link w:val="BodyText"/>
    <w:uiPriority w:val="1"/>
    <w:rsid w:val="007F4065"/>
    <w:rPr>
      <w:rFonts w:ascii="Arial" w:eastAsia="Arial" w:hAnsi="Arial" w:cs="Arial"/>
      <w:lang w:val="en-GB" w:eastAsia="en-GB" w:bidi="en-GB"/>
    </w:rPr>
  </w:style>
  <w:style w:type="paragraph" w:customStyle="1" w:styleId="Papertext">
    <w:name w:val="Paper text"/>
    <w:basedOn w:val="Normal"/>
    <w:rsid w:val="005848C8"/>
    <w:pPr>
      <w:widowControl/>
      <w:tabs>
        <w:tab w:val="left" w:pos="851"/>
        <w:tab w:val="right" w:pos="9639"/>
      </w:tabs>
      <w:autoSpaceDE/>
      <w:autoSpaceDN/>
      <w:spacing w:after="220"/>
      <w:ind w:left="851" w:hanging="851"/>
    </w:pPr>
    <w:rPr>
      <w:rFonts w:eastAsia="Times New Roman"/>
      <w:color w:val="000000"/>
      <w:szCs w:val="20"/>
      <w:lang w:eastAsia="ja-JP" w:bidi="ar-SA"/>
    </w:rPr>
  </w:style>
  <w:style w:type="character" w:customStyle="1" w:styleId="PaperItemCharChar">
    <w:name w:val="Paper Item Char Char"/>
    <w:link w:val="PaperItem"/>
    <w:rsid w:val="005848C8"/>
    <w:rPr>
      <w:rFonts w:ascii="Arial" w:eastAsia="Times New Roman" w:hAnsi="Arial" w:cs="Arial"/>
      <w:b/>
      <w:caps/>
      <w:color w:val="000000"/>
      <w:szCs w:val="20"/>
      <w:lang w:val="en-GB" w:eastAsia="ja-JP"/>
    </w:rPr>
  </w:style>
  <w:style w:type="paragraph" w:customStyle="1" w:styleId="Committee">
    <w:name w:val="Committee"/>
    <w:basedOn w:val="Normal"/>
    <w:rsid w:val="00E3797C"/>
    <w:pPr>
      <w:widowControl/>
      <w:autoSpaceDE/>
      <w:autoSpaceDN/>
      <w:spacing w:after="220"/>
      <w:jc w:val="center"/>
    </w:pPr>
    <w:rPr>
      <w:rFonts w:eastAsia="Times New Roman"/>
      <w:b/>
      <w:caps/>
      <w:color w:val="000000"/>
      <w:lang w:eastAsia="ja-JP" w:bidi="ar-SA"/>
    </w:rPr>
  </w:style>
  <w:style w:type="paragraph" w:customStyle="1" w:styleId="Papertitle">
    <w:name w:val="Paper title"/>
    <w:basedOn w:val="Normal"/>
    <w:rsid w:val="00E3797C"/>
    <w:pPr>
      <w:widowControl/>
      <w:autoSpaceDE/>
      <w:autoSpaceDN/>
      <w:jc w:val="center"/>
    </w:pPr>
    <w:rPr>
      <w:rFonts w:eastAsia="Times New Roman" w:cs="Times New Roman"/>
      <w:b/>
      <w:noProof/>
      <w:szCs w:val="24"/>
      <w:lang w:bidi="ar-SA"/>
    </w:rPr>
  </w:style>
  <w:style w:type="paragraph" w:customStyle="1" w:styleId="BoxedSectionText">
    <w:name w:val="Boxed Section Text"/>
    <w:basedOn w:val="Normal"/>
    <w:qFormat/>
    <w:rsid w:val="00E3797C"/>
    <w:pPr>
      <w:widowControl/>
      <w:tabs>
        <w:tab w:val="right" w:pos="9638"/>
      </w:tabs>
      <w:autoSpaceDE/>
      <w:autoSpaceDN/>
      <w:spacing w:before="120" w:after="220"/>
    </w:pPr>
    <w:rPr>
      <w:rFonts w:eastAsia="Times New Roman"/>
      <w:color w:val="000000"/>
      <w:lang w:bidi="ar-SA"/>
    </w:rPr>
  </w:style>
  <w:style w:type="paragraph" w:customStyle="1" w:styleId="BoxedSectionList">
    <w:name w:val="Boxed Section List"/>
    <w:basedOn w:val="Normal"/>
    <w:qFormat/>
    <w:rsid w:val="00E3797C"/>
    <w:pPr>
      <w:widowControl/>
      <w:tabs>
        <w:tab w:val="right" w:pos="9638"/>
      </w:tabs>
      <w:autoSpaceDE/>
      <w:autoSpaceDN/>
      <w:spacing w:after="220"/>
      <w:ind w:left="567" w:hanging="567"/>
    </w:pPr>
    <w:rPr>
      <w:rFonts w:eastAsia="Times New Roman"/>
      <w:color w:val="000000"/>
      <w:szCs w:val="20"/>
      <w:lang w:eastAsia="ja-JP" w:bidi="ar-SA"/>
    </w:rPr>
  </w:style>
  <w:style w:type="paragraph" w:customStyle="1" w:styleId="PAPERNUMBER">
    <w:name w:val="PAPER NUMBER"/>
    <w:basedOn w:val="Normal"/>
    <w:next w:val="Normal"/>
    <w:rsid w:val="006D1A95"/>
    <w:pPr>
      <w:keepLines/>
      <w:widowControl/>
      <w:autoSpaceDE/>
      <w:autoSpaceDN/>
      <w:spacing w:after="660"/>
      <w:ind w:right="40"/>
      <w:jc w:val="right"/>
    </w:pPr>
    <w:rPr>
      <w:rFonts w:eastAsia="MS Mincho"/>
      <w:b/>
      <w:caps/>
      <w:color w:val="000000"/>
      <w:szCs w:val="20"/>
      <w:lang w:eastAsia="ja-JP" w:bidi="ar-SA"/>
    </w:rPr>
  </w:style>
  <w:style w:type="paragraph" w:customStyle="1" w:styleId="Logo">
    <w:name w:val="Logo"/>
    <w:basedOn w:val="Normal"/>
    <w:rsid w:val="006D1A95"/>
    <w:pPr>
      <w:widowControl/>
      <w:autoSpaceDE/>
      <w:autoSpaceDN/>
      <w:spacing w:after="1200"/>
    </w:pPr>
    <w:rPr>
      <w:rFonts w:eastAsia="Times New Roman"/>
      <w:color w:val="000000"/>
      <w:szCs w:val="20"/>
      <w:lang w:eastAsia="ja-JP" w:bidi="ar-SA"/>
    </w:rPr>
  </w:style>
  <w:style w:type="character" w:styleId="CommentReference">
    <w:name w:val="annotation reference"/>
    <w:semiHidden/>
    <w:rsid w:val="00640522"/>
    <w:rPr>
      <w:sz w:val="16"/>
      <w:szCs w:val="16"/>
    </w:rPr>
  </w:style>
  <w:style w:type="paragraph" w:styleId="CommentText">
    <w:name w:val="annotation text"/>
    <w:basedOn w:val="Normal"/>
    <w:link w:val="CommentTextChar"/>
    <w:semiHidden/>
    <w:rsid w:val="00640522"/>
    <w:pPr>
      <w:widowControl/>
      <w:autoSpaceDE/>
      <w:autoSpaceDN/>
    </w:pPr>
    <w:rPr>
      <w:rFonts w:ascii="Times New Roman" w:eastAsia="Times New Roman" w:hAnsi="Times New Roman" w:cs="Times New Roman"/>
      <w:color w:val="000000"/>
      <w:sz w:val="20"/>
      <w:szCs w:val="20"/>
      <w:lang w:eastAsia="ja-JP" w:bidi="ar-SA"/>
    </w:rPr>
  </w:style>
  <w:style w:type="character" w:customStyle="1" w:styleId="CommentTextChar">
    <w:name w:val="Comment Text Char"/>
    <w:basedOn w:val="DefaultParagraphFont"/>
    <w:link w:val="CommentText"/>
    <w:semiHidden/>
    <w:rsid w:val="00640522"/>
    <w:rPr>
      <w:rFonts w:ascii="Times New Roman" w:eastAsia="Times New Roman" w:hAnsi="Times New Roman" w:cs="Times New Roman"/>
      <w:color w:val="000000"/>
      <w:sz w:val="20"/>
      <w:szCs w:val="20"/>
      <w:lang w:val="en-GB" w:eastAsia="ja-JP"/>
    </w:rPr>
  </w:style>
  <w:style w:type="paragraph" w:styleId="BalloonText">
    <w:name w:val="Balloon Text"/>
    <w:basedOn w:val="Normal"/>
    <w:link w:val="BalloonTextChar"/>
    <w:uiPriority w:val="99"/>
    <w:semiHidden/>
    <w:unhideWhenUsed/>
    <w:rsid w:val="00CB7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E6E"/>
    <w:rPr>
      <w:rFonts w:ascii="Segoe UI" w:eastAsia="Arial" w:hAnsi="Segoe UI" w:cs="Segoe UI"/>
      <w:sz w:val="18"/>
      <w:szCs w:val="18"/>
      <w:lang w:val="en-GB" w:eastAsia="en-GB" w:bidi="en-GB"/>
    </w:rPr>
  </w:style>
  <w:style w:type="table" w:styleId="TableGrid">
    <w:name w:val="Table Grid"/>
    <w:basedOn w:val="TableNormal"/>
    <w:uiPriority w:val="39"/>
    <w:rsid w:val="008D4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basedOn w:val="Normal"/>
    <w:link w:val="SignatureChar"/>
    <w:uiPriority w:val="99"/>
    <w:unhideWhenUsed/>
    <w:rsid w:val="006C3C81"/>
    <w:pPr>
      <w:ind w:left="4252"/>
    </w:pPr>
  </w:style>
  <w:style w:type="character" w:customStyle="1" w:styleId="SignatureChar">
    <w:name w:val="Signature Char"/>
    <w:basedOn w:val="DefaultParagraphFont"/>
    <w:link w:val="Signature"/>
    <w:uiPriority w:val="99"/>
    <w:rsid w:val="006C3C81"/>
    <w:rPr>
      <w:rFonts w:ascii="Arial" w:eastAsia="Arial" w:hAnsi="Arial" w:cs="Arial"/>
      <w:lang w:val="en-GB" w:eastAsia="en-GB" w:bidi="en-GB"/>
    </w:rPr>
  </w:style>
  <w:style w:type="paragraph" w:styleId="List2">
    <w:name w:val="List 2"/>
    <w:basedOn w:val="Normal"/>
    <w:uiPriority w:val="99"/>
    <w:unhideWhenUsed/>
    <w:rsid w:val="00AC7269"/>
    <w:pPr>
      <w:ind w:left="566" w:hanging="283"/>
      <w:contextualSpacing/>
    </w:pPr>
  </w:style>
  <w:style w:type="paragraph" w:customStyle="1" w:styleId="List20">
    <w:name w:val="List2"/>
    <w:basedOn w:val="Normal"/>
    <w:rsid w:val="00AC7269"/>
    <w:pPr>
      <w:widowControl/>
      <w:tabs>
        <w:tab w:val="left" w:pos="1985"/>
        <w:tab w:val="right" w:pos="9638"/>
      </w:tabs>
      <w:autoSpaceDE/>
      <w:autoSpaceDN/>
      <w:spacing w:after="220"/>
      <w:ind w:left="1985" w:hanging="567"/>
    </w:pPr>
    <w:rPr>
      <w:rFonts w:eastAsia="Times New Roman"/>
      <w:lang w:bidi="ar-SA"/>
    </w:rPr>
  </w:style>
  <w:style w:type="paragraph" w:styleId="CommentSubject">
    <w:name w:val="annotation subject"/>
    <w:basedOn w:val="CommentText"/>
    <w:next w:val="CommentText"/>
    <w:link w:val="CommentSubjectChar"/>
    <w:uiPriority w:val="99"/>
    <w:semiHidden/>
    <w:unhideWhenUsed/>
    <w:rsid w:val="00CD7EFA"/>
    <w:pPr>
      <w:widowControl w:val="0"/>
      <w:autoSpaceDE w:val="0"/>
      <w:autoSpaceDN w:val="0"/>
    </w:pPr>
    <w:rPr>
      <w:rFonts w:ascii="Arial" w:eastAsia="Arial" w:hAnsi="Arial" w:cs="Arial"/>
      <w:b/>
      <w:bCs/>
      <w:color w:val="auto"/>
      <w:lang w:eastAsia="en-GB" w:bidi="en-GB"/>
    </w:rPr>
  </w:style>
  <w:style w:type="character" w:customStyle="1" w:styleId="CommentSubjectChar">
    <w:name w:val="Comment Subject Char"/>
    <w:basedOn w:val="CommentTextChar"/>
    <w:link w:val="CommentSubject"/>
    <w:uiPriority w:val="99"/>
    <w:semiHidden/>
    <w:rsid w:val="00CD7EFA"/>
    <w:rPr>
      <w:rFonts w:ascii="Arial" w:eastAsia="Arial" w:hAnsi="Arial" w:cs="Arial"/>
      <w:b/>
      <w:bCs/>
      <w:color w:val="000000"/>
      <w:sz w:val="20"/>
      <w:szCs w:val="20"/>
      <w:lang w:val="en-GB" w:eastAsia="en-GB" w:bidi="en-GB"/>
    </w:rPr>
  </w:style>
  <w:style w:type="character" w:styleId="Hyperlink">
    <w:name w:val="Hyperlink"/>
    <w:basedOn w:val="DefaultParagraphFont"/>
    <w:uiPriority w:val="99"/>
    <w:unhideWhenUsed/>
    <w:rsid w:val="00D61B6A"/>
    <w:rPr>
      <w:color w:val="0000FF" w:themeColor="hyperlink"/>
      <w:u w:val="single"/>
    </w:rPr>
  </w:style>
  <w:style w:type="character" w:styleId="UnresolvedMention">
    <w:name w:val="Unresolved Mention"/>
    <w:basedOn w:val="DefaultParagraphFont"/>
    <w:uiPriority w:val="99"/>
    <w:semiHidden/>
    <w:unhideWhenUsed/>
    <w:rsid w:val="00D61B6A"/>
    <w:rPr>
      <w:color w:val="605E5C"/>
      <w:shd w:val="clear" w:color="auto" w:fill="E1DFDD"/>
    </w:rPr>
  </w:style>
  <w:style w:type="character" w:styleId="FollowedHyperlink">
    <w:name w:val="FollowedHyperlink"/>
    <w:basedOn w:val="DefaultParagraphFont"/>
    <w:uiPriority w:val="99"/>
    <w:semiHidden/>
    <w:unhideWhenUsed/>
    <w:rsid w:val="00145E94"/>
    <w:rPr>
      <w:color w:val="800080" w:themeColor="followedHyperlink"/>
      <w:u w:val="single"/>
    </w:rPr>
  </w:style>
  <w:style w:type="paragraph" w:customStyle="1" w:styleId="List1">
    <w:name w:val="List1"/>
    <w:basedOn w:val="Normal"/>
    <w:rsid w:val="006231CE"/>
    <w:pPr>
      <w:widowControl/>
      <w:tabs>
        <w:tab w:val="right" w:pos="9638"/>
      </w:tabs>
      <w:autoSpaceDE/>
      <w:autoSpaceDN/>
      <w:spacing w:after="220"/>
      <w:ind w:left="1418" w:hanging="567"/>
    </w:pPr>
    <w:rPr>
      <w:rFonts w:eastAsia="Times New Roman"/>
      <w:color w:val="000000"/>
      <w:szCs w:val="20"/>
      <w:lang w:eastAsia="ja-JP" w:bidi="ar-SA"/>
    </w:rPr>
  </w:style>
  <w:style w:type="paragraph" w:customStyle="1" w:styleId="Secretary">
    <w:name w:val="Secretary"/>
    <w:basedOn w:val="Normal"/>
    <w:rsid w:val="006231CE"/>
    <w:pPr>
      <w:widowControl/>
      <w:autoSpaceDE/>
      <w:autoSpaceDN/>
      <w:spacing w:before="660" w:after="220"/>
    </w:pPr>
    <w:rPr>
      <w:rFonts w:eastAsia="Times New Roman"/>
      <w:color w:val="000000"/>
      <w:lang w:eastAsia="ja-JP" w:bidi="ar-SA"/>
    </w:rPr>
  </w:style>
  <w:style w:type="paragraph" w:customStyle="1" w:styleId="AppendixList">
    <w:name w:val="Appendix List"/>
    <w:basedOn w:val="Normal"/>
    <w:rsid w:val="006231CE"/>
    <w:pPr>
      <w:widowControl/>
      <w:autoSpaceDE/>
      <w:autoSpaceDN/>
      <w:spacing w:line="260" w:lineRule="atLeast"/>
      <w:ind w:left="1418" w:hanging="1418"/>
    </w:pPr>
    <w:rPr>
      <w:rFonts w:eastAsia="Times New Roman" w:cs="Times New Roman"/>
      <w:lang w:bidi="ar-SA"/>
    </w:rPr>
  </w:style>
  <w:style w:type="paragraph" w:customStyle="1" w:styleId="Attachments">
    <w:name w:val="Attachments"/>
    <w:basedOn w:val="Normal"/>
    <w:rsid w:val="006231CE"/>
    <w:pPr>
      <w:widowControl/>
      <w:tabs>
        <w:tab w:val="left" w:pos="1400"/>
      </w:tabs>
      <w:autoSpaceDE/>
      <w:autoSpaceDN/>
      <w:spacing w:before="660" w:after="220"/>
    </w:pPr>
    <w:rPr>
      <w:rFonts w:eastAsia="Times New Roman"/>
      <w:color w:val="000000"/>
      <w:lang w:bidi="ar-SA"/>
    </w:rPr>
  </w:style>
  <w:style w:type="paragraph" w:customStyle="1" w:styleId="Guidelinespapertitle">
    <w:name w:val="Guidelines paper title"/>
    <w:basedOn w:val="Normal"/>
    <w:uiPriority w:val="1"/>
    <w:qFormat/>
    <w:rsid w:val="006231CE"/>
    <w:pPr>
      <w:spacing w:before="94"/>
    </w:pPr>
    <w:rPr>
      <w:b/>
      <w:color w:val="548DD4" w:themeColor="text2" w:themeTint="99"/>
      <w:sz w:val="24"/>
      <w:szCs w:val="24"/>
    </w:rPr>
  </w:style>
  <w:style w:type="paragraph" w:customStyle="1" w:styleId="Guidelinespapertitlered">
    <w:name w:val="Guidelines paper title (red)"/>
    <w:basedOn w:val="Guidelinespapertitle"/>
    <w:uiPriority w:val="1"/>
    <w:qFormat/>
    <w:rsid w:val="006231CE"/>
    <w:rPr>
      <w:color w:val="FF0000"/>
      <w:lang w:eastAsia="ja-JP" w:bidi="ar-SA"/>
    </w:rPr>
  </w:style>
  <w:style w:type="paragraph" w:styleId="NormalWeb">
    <w:name w:val="Normal (Web)"/>
    <w:basedOn w:val="Normal"/>
    <w:uiPriority w:val="99"/>
    <w:semiHidden/>
    <w:rsid w:val="004B1F7B"/>
    <w:pPr>
      <w:widowControl/>
      <w:autoSpaceDE/>
      <w:autoSpaceDN/>
      <w:spacing w:line="260" w:lineRule="atLeast"/>
    </w:pPr>
    <w:rPr>
      <w:rFonts w:ascii="Times New Roman" w:eastAsia="Times New Roman" w:hAnsi="Times New Roman"/>
      <w:color w:val="000000"/>
      <w:sz w:val="24"/>
      <w:szCs w:val="20"/>
      <w:lang w:eastAsia="ja-JP" w:bidi="ar-SA"/>
    </w:rPr>
  </w:style>
  <w:style w:type="paragraph" w:customStyle="1" w:styleId="BoxedSection">
    <w:name w:val="Boxed Section"/>
    <w:basedOn w:val="Normal"/>
    <w:next w:val="Normal"/>
    <w:rsid w:val="00A1626B"/>
    <w:pPr>
      <w:widowControl/>
      <w:pBdr>
        <w:top w:val="double" w:sz="4" w:space="12" w:color="auto"/>
        <w:left w:val="double" w:sz="4" w:space="4" w:color="auto"/>
        <w:bottom w:val="double" w:sz="4" w:space="12" w:color="auto"/>
        <w:right w:val="double" w:sz="4" w:space="4" w:color="auto"/>
      </w:pBdr>
      <w:tabs>
        <w:tab w:val="right" w:pos="9639"/>
      </w:tabs>
      <w:autoSpaceDE/>
      <w:autoSpaceDN/>
      <w:spacing w:before="220" w:after="220"/>
    </w:pPr>
    <w:rPr>
      <w:rFonts w:eastAsia="Times New Roman" w:cs="Times New Roman"/>
      <w:szCs w:val="20"/>
      <w:lang w:bidi="ar-SA"/>
    </w:rPr>
  </w:style>
  <w:style w:type="paragraph" w:customStyle="1" w:styleId="NormalTable">
    <w:name w:val="Normal (Table)"/>
    <w:basedOn w:val="Normal"/>
    <w:qFormat/>
    <w:rsid w:val="0044401B"/>
    <w:pPr>
      <w:widowControl/>
      <w:autoSpaceDE/>
      <w:autoSpaceDN/>
      <w:spacing w:line="236" w:lineRule="exact"/>
      <w:jc w:val="both"/>
    </w:pPr>
    <w:rPr>
      <w:rFonts w:eastAsia="Times New Roman"/>
      <w:sz w:val="19"/>
      <w:szCs w:val="19"/>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49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pen.ac.uk/about/main/governance-ou/university-committee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avisson\1Reward&amp;Benefits\Senior%20Pay%20review\2021%20review\Comms\Annual%20Rem%20report\Appendix%202%20Travel-and-Subsistence-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B80D68571CF0C4484B87117150171DF" ma:contentTypeVersion="6" ma:contentTypeDescription="Create a new document." ma:contentTypeScope="" ma:versionID="aae43596d3c66195566eb71172466641">
  <xsd:schema xmlns:xsd="http://www.w3.org/2001/XMLSchema" xmlns:xs="http://www.w3.org/2001/XMLSchema" xmlns:p="http://schemas.microsoft.com/office/2006/metadata/properties" xmlns:ns1="http://schemas.microsoft.com/sharepoint/v3" xmlns:ns2="28b71a12-90cb-43df-aeb2-cf78c07080fe" xmlns:ns4="ba80b1c8-9c54-487f-b526-88c0465fac3f" targetNamespace="http://schemas.microsoft.com/office/2006/metadata/properties" ma:root="true" ma:fieldsID="061ad3a0300c38184b9a51ed97a53405" ns1:_="" ns2:_="" ns4:_="">
    <xsd:import namespace="http://schemas.microsoft.com/sharepoint/v3"/>
    <xsd:import namespace="28b71a12-90cb-43df-aeb2-cf78c07080fe"/>
    <xsd:import namespace="ba80b1c8-9c54-487f-b526-88c0465fac3f"/>
    <xsd:element name="properties">
      <xsd:complexType>
        <xsd:sequence>
          <xsd:element name="documentManagement">
            <xsd:complexType>
              <xsd:all>
                <xsd:element ref="ns2:_dlc_DocId" minOccurs="0"/>
                <xsd:element ref="ns2:_dlc_DocIdUrl" minOccurs="0"/>
                <xsd:element ref="ns2:_dlc_DocIdPersistId" minOccurs="0"/>
                <xsd:element ref="ns1:RoutingRuleDescrip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b71a12-90cb-43df-aeb2-cf78c07080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80b1c8-9c54-487f-b526-88c0465fac3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28b71a12-90cb-43df-aeb2-cf78c07080fe">
      <UserInfo>
        <DisplayName/>
        <AccountId xsi:nil="true"/>
        <AccountType/>
      </UserInfo>
    </SharedWithUsers>
    <RoutingRuleDescription xmlns="http://schemas.microsoft.com/sharepoint/v3" xsi:nil="true"/>
    <_dlc_DocId xmlns="28b71a12-90cb-43df-aeb2-cf78c07080fe">INFC-276789364-116</_dlc_DocId>
    <_dlc_DocIdUrl xmlns="28b71a12-90cb-43df-aeb2-cf78c07080fe">
      <Url>https://openuniv.sharepoint.com/sites/info-compliance/freedom-of-information-compliance/_layouts/15/DocIdRedir.aspx?ID=INFC-276789364-116</Url>
      <Description>INFC-276789364-116</Description>
    </_dlc_DocIdUrl>
  </documentManagement>
</p:properties>
</file>

<file path=customXml/itemProps1.xml><?xml version="1.0" encoding="utf-8"?>
<ds:datastoreItem xmlns:ds="http://schemas.openxmlformats.org/officeDocument/2006/customXml" ds:itemID="{459A1549-9313-4F60-855F-7EFB190447E4}">
  <ds:schemaRefs>
    <ds:schemaRef ds:uri="http://schemas.microsoft.com/sharepoint/events"/>
  </ds:schemaRefs>
</ds:datastoreItem>
</file>

<file path=customXml/itemProps2.xml><?xml version="1.0" encoding="utf-8"?>
<ds:datastoreItem xmlns:ds="http://schemas.openxmlformats.org/officeDocument/2006/customXml" ds:itemID="{A92B8283-422D-4ED3-A49A-48EF816F0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b71a12-90cb-43df-aeb2-cf78c07080fe"/>
    <ds:schemaRef ds:uri="ba80b1c8-9c54-487f-b526-88c0465fa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06B28B-41F6-48B8-A050-4C21A1E4182E}">
  <ds:schemaRefs>
    <ds:schemaRef ds:uri="http://schemas.microsoft.com/sharepoint/v3/contenttype/forms"/>
  </ds:schemaRefs>
</ds:datastoreItem>
</file>

<file path=customXml/itemProps4.xml><?xml version="1.0" encoding="utf-8"?>
<ds:datastoreItem xmlns:ds="http://schemas.openxmlformats.org/officeDocument/2006/customXml" ds:itemID="{8E871043-35A6-4AA9-B3B8-A566C825B516}">
  <ds:schemaRefs>
    <ds:schemaRef ds:uri="http://schemas.openxmlformats.org/officeDocument/2006/bibliography"/>
  </ds:schemaRefs>
</ds:datastoreItem>
</file>

<file path=customXml/itemProps5.xml><?xml version="1.0" encoding="utf-8"?>
<ds:datastoreItem xmlns:ds="http://schemas.openxmlformats.org/officeDocument/2006/customXml" ds:itemID="{0C969161-4C5F-47D8-AE9C-0C87A1BB04C6}">
  <ds:schemaRefs>
    <ds:schemaRef ds:uri="http://purl.org/dc/terms/"/>
    <ds:schemaRef ds:uri="8234e12f-ceab-4895-96f9-59d42b1fdfb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8583c4d-1edf-4953-8ae8-d84778ad394b"/>
    <ds:schemaRef ds:uri="http://www.w3.org/XML/1998/namespace"/>
    <ds:schemaRef ds:uri="http://purl.org/dc/dcmitype/"/>
    <ds:schemaRef ds:uri="28b71a12-90cb-43df-aeb2-cf78c07080f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Updated 2020 Council paper template - portrait - for use from June 2020</vt:lpstr>
    </vt:vector>
  </TitlesOfParts>
  <Company>The Open University</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2020 Council paper template - portrait - for use from June 2020</dc:title>
  <dc:subject/>
  <dc:creator>John D'Arcy</dc:creator>
  <cp:keywords>2020-05; 2020</cp:keywords>
  <cp:lastModifiedBy>Jack.Suttill</cp:lastModifiedBy>
  <cp:revision>5</cp:revision>
  <cp:lastPrinted>2019-04-26T21:20:00Z</cp:lastPrinted>
  <dcterms:created xsi:type="dcterms:W3CDTF">2022-12-05T13:23:00Z</dcterms:created>
  <dcterms:modified xsi:type="dcterms:W3CDTF">2022-12-05T13:57:00Z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Acrobat PDFMaker 19 for Word</vt:lpwstr>
  </property>
  <property fmtid="{D5CDD505-2E9C-101B-9397-08002B2CF9AE}" pid="4" name="LastSaved">
    <vt:filetime>2019-02-08T00:00:00Z</vt:filetime>
  </property>
  <property fmtid="{D5CDD505-2E9C-101B-9397-08002B2CF9AE}" pid="5" name="TaxKeyword">
    <vt:lpwstr>56677;#2020|9aac4bcf-d0c8-4328-b17c-4a24115161e7;#56713;#2020-05|80ad5f13-37a1-4b58-a170-f0a7527b6e49</vt:lpwstr>
  </property>
  <property fmtid="{D5CDD505-2E9C-101B-9397-08002B2CF9AE}" pid="6" name="f2b6490abe864b3ca500caefb4f2f689">
    <vt:lpwstr>Membership Administration (do not migrate to spol)|815cc40d-0860-4c9f-8cfc-70f45ce342b1</vt:lpwstr>
  </property>
  <property fmtid="{D5CDD505-2E9C-101B-9397-08002B2CF9AE}" pid="7" name="ContentTypeId">
    <vt:lpwstr>0x010100EB80D68571CF0C4484B87117150171DF</vt:lpwstr>
  </property>
  <property fmtid="{D5CDD505-2E9C-101B-9397-08002B2CF9AE}" pid="8" name="TaxCatchAll">
    <vt:lpwstr>1;#English|e0d36b11-db4e-4123-8f10-8157dedade86;#53161;#Membership Administration (do not migrate to spol)|815cc40d-0860-4c9f-8cfc-70f45ce342b1</vt:lpwstr>
  </property>
  <property fmtid="{D5CDD505-2E9C-101B-9397-08002B2CF9AE}" pid="9" name="OULanguage">
    <vt:lpwstr>1;#English|e0d36b11-db4e-4123-8f10-8157dedade86</vt:lpwstr>
  </property>
  <property fmtid="{D5CDD505-2E9C-101B-9397-08002B2CF9AE}" pid="10" name="TaxKeywordTaxHTField">
    <vt:lpwstr/>
  </property>
  <property fmtid="{D5CDD505-2E9C-101B-9397-08002B2CF9AE}" pid="11" name="TreeStructureCategory">
    <vt:lpwstr>56075;#2020|7393ac9e-bd6b-4aca-8f2f-cb479888ba60;#56723;#2020-05 (Jun)|76b85bd1-f15b-48bc-8318-eeb5c6448851</vt:lpwstr>
  </property>
  <property fmtid="{D5CDD505-2E9C-101B-9397-08002B2CF9AE}" pid="12" name="_dlc_DocIdItemGuid">
    <vt:lpwstr>9207cdac-25c1-4339-a2ac-b1365db41e56</vt:lpwstr>
  </property>
  <property fmtid="{D5CDD505-2E9C-101B-9397-08002B2CF9AE}" pid="13" name="jfb83b211892487d8f99ba34d47cda51">
    <vt:lpwstr>English|e0d36b11-db4e-4123-8f10-8157dedade86</vt:lpwstr>
  </property>
  <property fmtid="{D5CDD505-2E9C-101B-9397-08002B2CF9AE}" pid="14" name="Order">
    <vt:r8>184900</vt:r8>
  </property>
  <property fmtid="{D5CDD505-2E9C-101B-9397-08002B2CF9AE}" pid="15" name="URL">
    <vt:lpwstr/>
  </property>
  <property fmtid="{D5CDD505-2E9C-101B-9397-08002B2CF9AE}" pid="16" name="AlternateThumbnailUrl">
    <vt:lpwstr/>
  </property>
  <property fmtid="{D5CDD505-2E9C-101B-9397-08002B2CF9AE}" pid="17" name="xd_Signature">
    <vt:bool>false</vt:bool>
  </property>
  <property fmtid="{D5CDD505-2E9C-101B-9397-08002B2CF9AE}" pid="18" name="xd_ProgID">
    <vt:lpwstr/>
  </property>
  <property fmtid="{D5CDD505-2E9C-101B-9397-08002B2CF9AE}" pid="19" name="SharedWithUsers">
    <vt:lpwstr/>
  </property>
  <property fmtid="{D5CDD505-2E9C-101B-9397-08002B2CF9AE}" pid="20" name="ComplianceAssetId">
    <vt:lpwstr/>
  </property>
  <property fmtid="{D5CDD505-2E9C-101B-9397-08002B2CF9AE}" pid="21" name="TemplateUrl">
    <vt:lpwstr/>
  </property>
  <property fmtid="{D5CDD505-2E9C-101B-9397-08002B2CF9AE}" pid="22" name="ProductionCompany">
    <vt:lpwstr/>
  </property>
</Properties>
</file>