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8EE2" w14:textId="77777777" w:rsidR="008E78C1" w:rsidRDefault="008E78C1">
      <w:pPr>
        <w:rPr>
          <w:sz w:val="28"/>
          <w:szCs w:val="28"/>
        </w:rPr>
      </w:pPr>
    </w:p>
    <w:p w14:paraId="088F1D98" w14:textId="4B9BE787" w:rsidR="00165F0E" w:rsidRPr="008E78C1" w:rsidRDefault="002C3CB8">
      <w:pPr>
        <w:rPr>
          <w:sz w:val="32"/>
          <w:szCs w:val="32"/>
        </w:rPr>
      </w:pPr>
      <w:proofErr w:type="spellStart"/>
      <w:r w:rsidRPr="008E78C1">
        <w:rPr>
          <w:sz w:val="32"/>
          <w:szCs w:val="32"/>
        </w:rPr>
        <w:t>eSTEeM</w:t>
      </w:r>
      <w:proofErr w:type="spellEnd"/>
      <w:r w:rsidRPr="008E78C1">
        <w:rPr>
          <w:sz w:val="32"/>
          <w:szCs w:val="32"/>
        </w:rPr>
        <w:t xml:space="preserve"> </w:t>
      </w:r>
      <w:r w:rsidR="00012FF9" w:rsidRPr="008E78C1">
        <w:rPr>
          <w:sz w:val="32"/>
          <w:szCs w:val="32"/>
        </w:rPr>
        <w:t xml:space="preserve">Impact Evaluation </w:t>
      </w:r>
      <w:r w:rsidR="00D156D2">
        <w:rPr>
          <w:sz w:val="32"/>
          <w:szCs w:val="32"/>
        </w:rPr>
        <w:t>Tracking Tool</w:t>
      </w:r>
      <w:r w:rsidR="00D156D2" w:rsidRPr="008E78C1">
        <w:rPr>
          <w:sz w:val="32"/>
          <w:szCs w:val="32"/>
        </w:rPr>
        <w:t xml:space="preserve"> </w:t>
      </w:r>
      <w:r w:rsidRPr="008E78C1">
        <w:rPr>
          <w:sz w:val="32"/>
          <w:szCs w:val="32"/>
        </w:rPr>
        <w:t>(IE</w:t>
      </w:r>
      <w:r w:rsidR="00D156D2">
        <w:rPr>
          <w:sz w:val="32"/>
          <w:szCs w:val="32"/>
        </w:rPr>
        <w:t>TT</w:t>
      </w:r>
      <w:r w:rsidR="00F16173">
        <w:rPr>
          <w:sz w:val="32"/>
          <w:szCs w:val="32"/>
        </w:rPr>
        <w:t>)</w:t>
      </w:r>
    </w:p>
    <w:p w14:paraId="632D9234" w14:textId="1D8E9184" w:rsidR="00FC7624" w:rsidRDefault="00077BAB" w:rsidP="00077BAB">
      <w:pPr>
        <w:spacing w:before="100" w:after="140" w:line="260" w:lineRule="atLeast"/>
      </w:pPr>
      <w:bookmarkStart w:id="0" w:name="_Hlk168314488"/>
      <w:r>
        <w:t xml:space="preserve">The Impact </w:t>
      </w:r>
      <w:r w:rsidR="002E0FD2">
        <w:t>Evaluation Tracking To</w:t>
      </w:r>
      <w:r w:rsidR="00F35AE3">
        <w:t>o</w:t>
      </w:r>
      <w:r w:rsidR="002E0FD2">
        <w:t xml:space="preserve">l (IETT) has been based on the Impact </w:t>
      </w:r>
      <w:r>
        <w:t>Evaluation Framework (IEF)</w:t>
      </w:r>
      <w:r w:rsidR="001C6AB5">
        <w:rPr>
          <w:rStyle w:val="FootnoteReference"/>
        </w:rPr>
        <w:footnoteReference w:id="2"/>
      </w:r>
      <w:r w:rsidR="00BC28F2">
        <w:t xml:space="preserve"> and </w:t>
      </w:r>
      <w:r w:rsidR="00E57EB3">
        <w:rPr>
          <w:rStyle w:val="normaltextrun"/>
          <w:rFonts w:cs="Poppins"/>
          <w:color w:val="000000"/>
          <w:shd w:val="clear" w:color="auto" w:fill="FFFFFF"/>
        </w:rPr>
        <w:t xml:space="preserve">consists of </w:t>
      </w:r>
      <w:r w:rsidR="00BD71BA">
        <w:rPr>
          <w:rStyle w:val="normaltextrun"/>
          <w:rFonts w:cs="Poppins"/>
          <w:color w:val="000000"/>
          <w:shd w:val="clear" w:color="auto" w:fill="FFFFFF"/>
        </w:rPr>
        <w:t xml:space="preserve">13 </w:t>
      </w:r>
      <w:r w:rsidR="00E57EB3">
        <w:rPr>
          <w:rStyle w:val="normaltextrun"/>
          <w:rFonts w:cs="Poppins"/>
          <w:color w:val="000000"/>
          <w:shd w:val="clear" w:color="auto" w:fill="FFFFFF"/>
        </w:rPr>
        <w:t xml:space="preserve">impact criteria or facets. It has been created to aid scholars with planning for impact when designing a </w:t>
      </w:r>
      <w:proofErr w:type="spellStart"/>
      <w:r w:rsidR="00E57EB3">
        <w:rPr>
          <w:rStyle w:val="normaltextrun"/>
          <w:rFonts w:cs="Poppins"/>
          <w:color w:val="000000"/>
          <w:shd w:val="clear" w:color="auto" w:fill="FFFFFF"/>
        </w:rPr>
        <w:t>SoTL</w:t>
      </w:r>
      <w:proofErr w:type="spellEnd"/>
      <w:r w:rsidR="00E57EB3">
        <w:rPr>
          <w:rStyle w:val="normaltextrun"/>
          <w:rFonts w:cs="Poppins"/>
          <w:color w:val="000000"/>
          <w:shd w:val="clear" w:color="auto" w:fill="FFFFFF"/>
        </w:rPr>
        <w:t xml:space="preserve"> inquiry, for evaluating the impact of a </w:t>
      </w:r>
      <w:proofErr w:type="spellStart"/>
      <w:r w:rsidR="00E57EB3">
        <w:rPr>
          <w:rStyle w:val="normaltextrun"/>
          <w:rFonts w:cs="Poppins"/>
          <w:color w:val="000000"/>
          <w:shd w:val="clear" w:color="auto" w:fill="FFFFFF"/>
        </w:rPr>
        <w:t>SoTL</w:t>
      </w:r>
      <w:proofErr w:type="spellEnd"/>
      <w:r w:rsidR="00E57EB3">
        <w:rPr>
          <w:rStyle w:val="normaltextrun"/>
          <w:rFonts w:cs="Poppins"/>
          <w:color w:val="000000"/>
          <w:shd w:val="clear" w:color="auto" w:fill="FFFFFF"/>
        </w:rPr>
        <w:t xml:space="preserve"> inquiry, and/or for guiding the collation of evidence when evaluating the impact of </w:t>
      </w:r>
      <w:proofErr w:type="spellStart"/>
      <w:r w:rsidR="00E57EB3">
        <w:rPr>
          <w:rStyle w:val="normaltextrun"/>
          <w:rFonts w:cs="Poppins"/>
          <w:color w:val="000000"/>
          <w:shd w:val="clear" w:color="auto" w:fill="FFFFFF"/>
        </w:rPr>
        <w:t>SoTL</w:t>
      </w:r>
      <w:proofErr w:type="spellEnd"/>
      <w:r w:rsidR="00E57EB3">
        <w:rPr>
          <w:rStyle w:val="normaltextrun"/>
          <w:rFonts w:cs="Poppins"/>
          <w:color w:val="000000"/>
          <w:shd w:val="clear" w:color="auto" w:fill="FFFFFF"/>
        </w:rPr>
        <w:t xml:space="preserve"> activity at the institution level.</w:t>
      </w:r>
      <w:r w:rsidR="00FC7624">
        <w:t xml:space="preserve"> </w:t>
      </w:r>
    </w:p>
    <w:p w14:paraId="55A1F020" w14:textId="7A786BA6" w:rsidR="008E78C1" w:rsidRDefault="008E78C1" w:rsidP="008E78C1">
      <w:r>
        <w:t xml:space="preserve">Please use this </w:t>
      </w:r>
      <w:r w:rsidR="006D0AFB">
        <w:t xml:space="preserve">IETT </w:t>
      </w:r>
      <w:r>
        <w:t xml:space="preserve">to capture and record the impact of your </w:t>
      </w:r>
      <w:proofErr w:type="spellStart"/>
      <w:r>
        <w:t>eSTEeM</w:t>
      </w:r>
      <w:proofErr w:type="spellEnd"/>
      <w:r>
        <w:t xml:space="preserve"> </w:t>
      </w:r>
      <w:r w:rsidRPr="00A65A4A">
        <w:t>project. These should be the main highlights or most significant examples of impact. You may not have information for each</w:t>
      </w:r>
      <w:r w:rsidR="008C6F9D" w:rsidRPr="00A65A4A">
        <w:t xml:space="preserve"> facet and attribute</w:t>
      </w:r>
      <w:r w:rsidR="001B10B0">
        <w:t>,</w:t>
      </w:r>
      <w:r w:rsidRPr="00A65A4A">
        <w:t xml:space="preserve"> which is fine</w:t>
      </w:r>
      <w:r w:rsidR="001B10B0">
        <w:t>. P</w:t>
      </w:r>
      <w:r w:rsidRPr="00A65A4A">
        <w:t>lease just add details to the</w:t>
      </w:r>
      <w:r w:rsidR="008C6F9D" w:rsidRPr="00A65A4A">
        <w:t xml:space="preserve"> facets and attributes</w:t>
      </w:r>
      <w:r w:rsidRPr="00A65A4A">
        <w:t xml:space="preserve"> that apply </w:t>
      </w:r>
      <w:r w:rsidR="00A54EB6" w:rsidRPr="00A65A4A">
        <w:t xml:space="preserve">for </w:t>
      </w:r>
      <w:r w:rsidRPr="00A65A4A">
        <w:t xml:space="preserve">your project. </w:t>
      </w:r>
      <w:r w:rsidR="00A54EB6" w:rsidRPr="00A65A4A">
        <w:t>We would encourage you to record this information during the lifecycle of your project</w:t>
      </w:r>
      <w:r w:rsidR="00EA2A1E">
        <w:t xml:space="preserve"> (in the first blank </w:t>
      </w:r>
      <w:r w:rsidR="00E43E8F">
        <w:t>column</w:t>
      </w:r>
      <w:r w:rsidR="00EA2A1E">
        <w:t>)</w:t>
      </w:r>
      <w:r w:rsidR="00A54EB6" w:rsidRPr="00A65A4A">
        <w:t>. Y</w:t>
      </w:r>
      <w:r w:rsidRPr="00A65A4A">
        <w:t xml:space="preserve">ou will </w:t>
      </w:r>
      <w:r w:rsidR="00A54EB6" w:rsidRPr="00A65A4A">
        <w:t xml:space="preserve">then be asked </w:t>
      </w:r>
      <w:r w:rsidRPr="00A65A4A">
        <w:t xml:space="preserve">to complete this exercise and update it annually, so we can track the </w:t>
      </w:r>
      <w:r w:rsidR="00D87443" w:rsidRPr="00A65A4A">
        <w:t>ongoing</w:t>
      </w:r>
      <w:r w:rsidR="00D87443">
        <w:t xml:space="preserve"> </w:t>
      </w:r>
      <w:r>
        <w:t xml:space="preserve">impact of your </w:t>
      </w:r>
      <w:r w:rsidR="008C6F9D">
        <w:t>project</w:t>
      </w:r>
      <w:r>
        <w:t xml:space="preserve">. </w:t>
      </w:r>
    </w:p>
    <w:bookmarkEnd w:id="0"/>
    <w:p w14:paraId="2BE8877C" w14:textId="77777777" w:rsidR="00AD5DAC" w:rsidRPr="009271C6" w:rsidRDefault="00AD5DAC" w:rsidP="00AD5DAC">
      <w:r w:rsidRPr="009271C6">
        <w:t xml:space="preserve">Below the IETT are some resources that you may wish to use to help you plan and evaluate your </w:t>
      </w:r>
      <w:proofErr w:type="spellStart"/>
      <w:r w:rsidRPr="009271C6">
        <w:t>eSTEeM</w:t>
      </w:r>
      <w:proofErr w:type="spellEnd"/>
      <w:r w:rsidRPr="009271C6">
        <w:t xml:space="preserve"> project for impact.</w:t>
      </w:r>
    </w:p>
    <w:p w14:paraId="60F128D3" w14:textId="77777777" w:rsidR="008E78C1" w:rsidRDefault="008E78C1" w:rsidP="008E78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949"/>
      </w:tblGrid>
      <w:tr w:rsidR="00A84ABB" w14:paraId="7BB16FCF" w14:textId="77777777" w:rsidTr="004F194A">
        <w:tc>
          <w:tcPr>
            <w:tcW w:w="2972" w:type="dxa"/>
            <w:shd w:val="clear" w:color="auto" w:fill="060645"/>
          </w:tcPr>
          <w:p w14:paraId="2E195CA0" w14:textId="64140EFE" w:rsidR="00A84ABB" w:rsidRPr="004F194A" w:rsidRDefault="00A84ABB">
            <w:pPr>
              <w:rPr>
                <w:b/>
                <w:bCs/>
              </w:rPr>
            </w:pPr>
            <w:r w:rsidRPr="004F194A">
              <w:rPr>
                <w:b/>
                <w:bCs/>
              </w:rPr>
              <w:t>Project Team</w:t>
            </w:r>
          </w:p>
        </w:tc>
        <w:tc>
          <w:tcPr>
            <w:tcW w:w="17949" w:type="dxa"/>
          </w:tcPr>
          <w:p w14:paraId="1E033268" w14:textId="77777777" w:rsidR="00A84ABB" w:rsidRDefault="00A84ABB"/>
        </w:tc>
      </w:tr>
      <w:tr w:rsidR="00A84ABB" w14:paraId="625FA28F" w14:textId="77777777" w:rsidTr="004F194A">
        <w:tc>
          <w:tcPr>
            <w:tcW w:w="2972" w:type="dxa"/>
            <w:shd w:val="clear" w:color="auto" w:fill="060645"/>
          </w:tcPr>
          <w:p w14:paraId="611B4298" w14:textId="314770BF" w:rsidR="00A84ABB" w:rsidRPr="004F194A" w:rsidRDefault="00A84ABB">
            <w:pPr>
              <w:rPr>
                <w:b/>
                <w:bCs/>
              </w:rPr>
            </w:pPr>
            <w:r w:rsidRPr="004F194A">
              <w:rPr>
                <w:b/>
                <w:bCs/>
              </w:rPr>
              <w:t>Project Title</w:t>
            </w:r>
          </w:p>
        </w:tc>
        <w:tc>
          <w:tcPr>
            <w:tcW w:w="17949" w:type="dxa"/>
          </w:tcPr>
          <w:p w14:paraId="6DD6BEB9" w14:textId="77777777" w:rsidR="00A84ABB" w:rsidRDefault="00A84ABB"/>
        </w:tc>
      </w:tr>
      <w:tr w:rsidR="00A84ABB" w14:paraId="25E9365E" w14:textId="77777777" w:rsidTr="004F194A">
        <w:tc>
          <w:tcPr>
            <w:tcW w:w="2972" w:type="dxa"/>
            <w:shd w:val="clear" w:color="auto" w:fill="060645"/>
          </w:tcPr>
          <w:p w14:paraId="09EC42C3" w14:textId="795DB8A9" w:rsidR="00A84ABB" w:rsidRPr="004F194A" w:rsidRDefault="00A84ABB">
            <w:pPr>
              <w:rPr>
                <w:b/>
                <w:bCs/>
              </w:rPr>
            </w:pPr>
            <w:r w:rsidRPr="004F194A">
              <w:rPr>
                <w:b/>
                <w:bCs/>
              </w:rPr>
              <w:t>Project Reference</w:t>
            </w:r>
          </w:p>
        </w:tc>
        <w:tc>
          <w:tcPr>
            <w:tcW w:w="17949" w:type="dxa"/>
          </w:tcPr>
          <w:p w14:paraId="47C9DB27" w14:textId="77777777" w:rsidR="00A84ABB" w:rsidRDefault="00A84ABB"/>
        </w:tc>
      </w:tr>
    </w:tbl>
    <w:p w14:paraId="1BC1E5C2" w14:textId="362DFEC8" w:rsidR="00182B97" w:rsidRDefault="00182B97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0"/>
        <w:gridCol w:w="5230"/>
        <w:gridCol w:w="5230"/>
        <w:gridCol w:w="5231"/>
      </w:tblGrid>
      <w:tr w:rsidR="00A84ABB" w14:paraId="5DF1B18B" w14:textId="04D09CF3">
        <w:tc>
          <w:tcPr>
            <w:tcW w:w="5230" w:type="dxa"/>
            <w:shd w:val="clear" w:color="auto" w:fill="060645"/>
          </w:tcPr>
          <w:p w14:paraId="1F0ED08D" w14:textId="77777777" w:rsidR="00A84ABB" w:rsidRPr="00012FF9" w:rsidRDefault="00A84ABB">
            <w:pPr>
              <w:rPr>
                <w:b/>
                <w:bCs/>
              </w:rPr>
            </w:pPr>
            <w:r w:rsidRPr="00012FF9">
              <w:rPr>
                <w:b/>
                <w:bCs/>
              </w:rPr>
              <w:t>Learning and Teaching</w:t>
            </w:r>
          </w:p>
        </w:tc>
        <w:tc>
          <w:tcPr>
            <w:tcW w:w="5230" w:type="dxa"/>
            <w:shd w:val="clear" w:color="auto" w:fill="060645"/>
          </w:tcPr>
          <w:p w14:paraId="24E19EC9" w14:textId="6C245447" w:rsidR="00A54EB6" w:rsidRDefault="00A50E2B">
            <w:pPr>
              <w:rPr>
                <w:b/>
                <w:bCs/>
              </w:rPr>
            </w:pPr>
            <w:r>
              <w:rPr>
                <w:b/>
                <w:bCs/>
              </w:rPr>
              <w:t>Throughout</w:t>
            </w:r>
            <w:r w:rsidR="00A54EB6">
              <w:rPr>
                <w:b/>
                <w:bCs/>
              </w:rPr>
              <w:t xml:space="preserve"> project lifecycle</w:t>
            </w:r>
          </w:p>
          <w:p w14:paraId="16637FE6" w14:textId="597595A0" w:rsidR="00A84ABB" w:rsidRPr="00012FF9" w:rsidRDefault="00A84ABB">
            <w:pPr>
              <w:rPr>
                <w:b/>
                <w:bCs/>
              </w:rPr>
            </w:pPr>
            <w:r w:rsidRPr="000F35EC">
              <w:rPr>
                <w:b/>
                <w:bCs/>
              </w:rPr>
              <w:t>Date</w:t>
            </w:r>
            <w:r w:rsidR="004F194A" w:rsidRPr="00A65A4A">
              <w:rPr>
                <w:b/>
                <w:bCs/>
              </w:rPr>
              <w:t>:</w:t>
            </w:r>
            <w:r w:rsidR="004F194A">
              <w:rPr>
                <w:b/>
                <w:bCs/>
              </w:rPr>
              <w:t xml:space="preserve"> </w:t>
            </w:r>
          </w:p>
        </w:tc>
        <w:tc>
          <w:tcPr>
            <w:tcW w:w="5230" w:type="dxa"/>
            <w:shd w:val="clear" w:color="auto" w:fill="060645"/>
          </w:tcPr>
          <w:p w14:paraId="383A4A17" w14:textId="4BC06842" w:rsidR="00A54EB6" w:rsidRDefault="00A54EB6">
            <w:pPr>
              <w:rPr>
                <w:b/>
                <w:bCs/>
              </w:rPr>
            </w:pPr>
            <w:r>
              <w:rPr>
                <w:b/>
                <w:bCs/>
              </w:rPr>
              <w:t>A year after completion of the project</w:t>
            </w:r>
          </w:p>
          <w:p w14:paraId="022E69C2" w14:textId="3FE7BC94" w:rsidR="00A84ABB" w:rsidRPr="00012FF9" w:rsidRDefault="00A84ABB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="004F194A">
              <w:rPr>
                <w:b/>
                <w:bCs/>
              </w:rPr>
              <w:t xml:space="preserve">: </w:t>
            </w:r>
          </w:p>
        </w:tc>
        <w:tc>
          <w:tcPr>
            <w:tcW w:w="5231" w:type="dxa"/>
            <w:shd w:val="clear" w:color="auto" w:fill="060645"/>
          </w:tcPr>
          <w:p w14:paraId="15840FDD" w14:textId="3BB460EC" w:rsidR="00A54EB6" w:rsidRDefault="00A54EB6">
            <w:pPr>
              <w:rPr>
                <w:b/>
                <w:bCs/>
              </w:rPr>
            </w:pPr>
            <w:r>
              <w:rPr>
                <w:b/>
                <w:bCs/>
              </w:rPr>
              <w:t>Two years after completion of the project</w:t>
            </w:r>
          </w:p>
          <w:p w14:paraId="5221D49E" w14:textId="0DE49711" w:rsidR="00A84ABB" w:rsidRPr="00012FF9" w:rsidRDefault="00A84ABB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="004F194A">
              <w:rPr>
                <w:b/>
                <w:bCs/>
              </w:rPr>
              <w:t>:</w:t>
            </w:r>
          </w:p>
        </w:tc>
      </w:tr>
      <w:tr w:rsidR="0043466D" w14:paraId="56783240" w14:textId="76E69008" w:rsidTr="00A84ABB">
        <w:tc>
          <w:tcPr>
            <w:tcW w:w="5230" w:type="dxa"/>
          </w:tcPr>
          <w:p w14:paraId="4B834B6C" w14:textId="1002F847" w:rsidR="0043466D" w:rsidRDefault="0043466D" w:rsidP="00CE74F2">
            <w:pPr>
              <w:rPr>
                <w:b/>
                <w:bCs/>
              </w:rPr>
            </w:pPr>
            <w:r w:rsidRPr="00CE74F2">
              <w:rPr>
                <w:b/>
                <w:bCs/>
              </w:rPr>
              <w:t>1. Student experience</w:t>
            </w:r>
          </w:p>
          <w:p w14:paraId="6A5E523F" w14:textId="77777777" w:rsidR="0043466D" w:rsidRPr="00CE74F2" w:rsidRDefault="0043466D" w:rsidP="00CE74F2">
            <w:pPr>
              <w:rPr>
                <w:b/>
                <w:bCs/>
              </w:rPr>
            </w:pPr>
          </w:p>
          <w:p w14:paraId="1C34FA97" w14:textId="69400965" w:rsidR="0043466D" w:rsidRPr="00CE74F2" w:rsidRDefault="0043466D" w:rsidP="00CE74F2">
            <w:pPr>
              <w:rPr>
                <w:i/>
                <w:iCs/>
                <w:sz w:val="20"/>
                <w:szCs w:val="20"/>
              </w:rPr>
            </w:pPr>
            <w:r w:rsidRPr="00CE74F2">
              <w:rPr>
                <w:i/>
                <w:iCs/>
                <w:sz w:val="20"/>
                <w:szCs w:val="20"/>
              </w:rPr>
              <w:t>Pre-registration; induction; curriculum design; design of assessment; learning design; student engagement with course content; student engagement with the technological intervention; and student satisfaction rate.</w:t>
            </w:r>
          </w:p>
        </w:tc>
        <w:tc>
          <w:tcPr>
            <w:tcW w:w="5230" w:type="dxa"/>
          </w:tcPr>
          <w:p w14:paraId="377E2535" w14:textId="5B314C7A" w:rsidR="0043466D" w:rsidRDefault="0043466D"/>
        </w:tc>
        <w:tc>
          <w:tcPr>
            <w:tcW w:w="5230" w:type="dxa"/>
          </w:tcPr>
          <w:p w14:paraId="7D663E7D" w14:textId="77777777" w:rsidR="0043466D" w:rsidRDefault="0043466D"/>
        </w:tc>
        <w:tc>
          <w:tcPr>
            <w:tcW w:w="5231" w:type="dxa"/>
          </w:tcPr>
          <w:p w14:paraId="06306C8F" w14:textId="77777777" w:rsidR="0043466D" w:rsidRDefault="0043466D"/>
        </w:tc>
      </w:tr>
      <w:tr w:rsidR="0043466D" w14:paraId="0CD434A3" w14:textId="0AC161ED" w:rsidTr="00A84ABB">
        <w:tc>
          <w:tcPr>
            <w:tcW w:w="5230" w:type="dxa"/>
          </w:tcPr>
          <w:p w14:paraId="6BBFEA53" w14:textId="77777777" w:rsidR="0043466D" w:rsidRDefault="0043466D">
            <w:pPr>
              <w:rPr>
                <w:b/>
                <w:bCs/>
              </w:rPr>
            </w:pPr>
            <w:r w:rsidRPr="00CE74F2">
              <w:rPr>
                <w:b/>
                <w:bCs/>
              </w:rPr>
              <w:t>2. Student retention and progression</w:t>
            </w:r>
          </w:p>
          <w:p w14:paraId="00C4C46F" w14:textId="77777777" w:rsidR="0043466D" w:rsidRPr="00CE74F2" w:rsidRDefault="0043466D">
            <w:pPr>
              <w:rPr>
                <w:b/>
                <w:bCs/>
              </w:rPr>
            </w:pPr>
          </w:p>
          <w:p w14:paraId="5C2CB05E" w14:textId="3C8D5090" w:rsidR="0043466D" w:rsidRPr="00CE74F2" w:rsidRDefault="0043466D">
            <w:pPr>
              <w:rPr>
                <w:i/>
                <w:iCs/>
                <w:sz w:val="20"/>
                <w:szCs w:val="20"/>
              </w:rPr>
            </w:pPr>
            <w:r w:rsidRPr="00CE74F2">
              <w:rPr>
                <w:i/>
                <w:iCs/>
                <w:sz w:val="20"/>
                <w:szCs w:val="20"/>
              </w:rPr>
              <w:t xml:space="preserve">Student </w:t>
            </w:r>
            <w:proofErr w:type="gramStart"/>
            <w:r w:rsidRPr="00CE74F2">
              <w:rPr>
                <w:i/>
                <w:iCs/>
                <w:sz w:val="20"/>
                <w:szCs w:val="20"/>
              </w:rPr>
              <w:t>registrations;</w:t>
            </w:r>
            <w:proofErr w:type="gramEnd"/>
            <w:r w:rsidRPr="00CE74F2">
              <w:rPr>
                <w:i/>
                <w:iCs/>
                <w:sz w:val="20"/>
                <w:szCs w:val="20"/>
              </w:rPr>
              <w:t xml:space="preserve"> average marks as compared with previous year(s); module completion rate; module pass rate; student retention rate; and student progression.</w:t>
            </w:r>
          </w:p>
        </w:tc>
        <w:tc>
          <w:tcPr>
            <w:tcW w:w="5230" w:type="dxa"/>
          </w:tcPr>
          <w:p w14:paraId="3976EE4D" w14:textId="6FE8AF17" w:rsidR="0043466D" w:rsidRDefault="0043466D"/>
        </w:tc>
        <w:tc>
          <w:tcPr>
            <w:tcW w:w="5230" w:type="dxa"/>
          </w:tcPr>
          <w:p w14:paraId="22A0C5E2" w14:textId="77777777" w:rsidR="0043466D" w:rsidRDefault="0043466D"/>
        </w:tc>
        <w:tc>
          <w:tcPr>
            <w:tcW w:w="5231" w:type="dxa"/>
          </w:tcPr>
          <w:p w14:paraId="37D66883" w14:textId="77777777" w:rsidR="0043466D" w:rsidRDefault="0043466D"/>
        </w:tc>
      </w:tr>
      <w:tr w:rsidR="0043466D" w14:paraId="2D58D575" w14:textId="377431E6" w:rsidTr="00A84ABB">
        <w:tc>
          <w:tcPr>
            <w:tcW w:w="5230" w:type="dxa"/>
          </w:tcPr>
          <w:p w14:paraId="5DF57057" w14:textId="77777777" w:rsidR="0043466D" w:rsidRDefault="0043466D">
            <w:pPr>
              <w:rPr>
                <w:b/>
                <w:bCs/>
              </w:rPr>
            </w:pPr>
            <w:r w:rsidRPr="00CE74F2">
              <w:rPr>
                <w:b/>
                <w:bCs/>
              </w:rPr>
              <w:t>3. Excellence in teaching</w:t>
            </w:r>
          </w:p>
          <w:p w14:paraId="401E8D9F" w14:textId="77777777" w:rsidR="0043466D" w:rsidRPr="00CE74F2" w:rsidRDefault="0043466D">
            <w:pPr>
              <w:rPr>
                <w:b/>
                <w:bCs/>
              </w:rPr>
            </w:pPr>
          </w:p>
          <w:p w14:paraId="43F41A45" w14:textId="0F2428A1" w:rsidR="0043466D" w:rsidRPr="00CE74F2" w:rsidRDefault="0043466D">
            <w:pPr>
              <w:rPr>
                <w:i/>
                <w:iCs/>
                <w:sz w:val="20"/>
                <w:szCs w:val="20"/>
              </w:rPr>
            </w:pPr>
            <w:r w:rsidRPr="00CE74F2">
              <w:rPr>
                <w:i/>
                <w:iCs/>
                <w:sz w:val="20"/>
                <w:szCs w:val="20"/>
              </w:rPr>
              <w:t xml:space="preserve">Student skills-set (e.g., academic writing; critical thinking; reflection; problem-solving; group-working; digital literacy); student employability; evidence of research-informed teaching; data for </w:t>
            </w:r>
            <w:r w:rsidRPr="00CE74F2">
              <w:rPr>
                <w:i/>
                <w:iCs/>
                <w:sz w:val="20"/>
                <w:szCs w:val="20"/>
              </w:rPr>
              <w:lastRenderedPageBreak/>
              <w:t xml:space="preserve">assessments (e.g., UK’s </w:t>
            </w:r>
            <w:hyperlink r:id="rId11" w:history="1">
              <w:r w:rsidRPr="00CE74F2">
                <w:rPr>
                  <w:rStyle w:val="Hyperlink"/>
                  <w:i/>
                  <w:iCs/>
                  <w:sz w:val="20"/>
                  <w:szCs w:val="20"/>
                </w:rPr>
                <w:t>TEF</w:t>
              </w:r>
            </w:hyperlink>
            <w:r w:rsidRPr="00CE74F2">
              <w:rPr>
                <w:i/>
                <w:iCs/>
                <w:sz w:val="20"/>
                <w:szCs w:val="20"/>
              </w:rPr>
              <w:t>), programme reviews and accreditation processes; inter-disciplinary collaborations in teaching; accreditation against professional standards; informing policy development internally at the level of department, faculty or University; and informing policy development externally (in another institution or in the sector).</w:t>
            </w:r>
          </w:p>
        </w:tc>
        <w:tc>
          <w:tcPr>
            <w:tcW w:w="5230" w:type="dxa"/>
          </w:tcPr>
          <w:p w14:paraId="06A0A6BB" w14:textId="52EEC11D" w:rsidR="0043466D" w:rsidRDefault="0043466D"/>
        </w:tc>
        <w:tc>
          <w:tcPr>
            <w:tcW w:w="5230" w:type="dxa"/>
          </w:tcPr>
          <w:p w14:paraId="5C29095B" w14:textId="77777777" w:rsidR="0043466D" w:rsidRDefault="0043466D"/>
        </w:tc>
        <w:tc>
          <w:tcPr>
            <w:tcW w:w="5231" w:type="dxa"/>
          </w:tcPr>
          <w:p w14:paraId="7FAB02E4" w14:textId="77777777" w:rsidR="0043466D" w:rsidRDefault="0043466D"/>
        </w:tc>
      </w:tr>
      <w:tr w:rsidR="00A50E2B" w14:paraId="5D89B8C7" w14:textId="5E9AE9D3">
        <w:tc>
          <w:tcPr>
            <w:tcW w:w="5230" w:type="dxa"/>
            <w:shd w:val="clear" w:color="auto" w:fill="060645"/>
          </w:tcPr>
          <w:p w14:paraId="7B2361D2" w14:textId="77777777" w:rsidR="00A50E2B" w:rsidRPr="00012FF9" w:rsidRDefault="00A50E2B" w:rsidP="00A50E2B">
            <w:pPr>
              <w:rPr>
                <w:b/>
                <w:bCs/>
              </w:rPr>
            </w:pPr>
            <w:r w:rsidRPr="00012FF9">
              <w:rPr>
                <w:b/>
                <w:bCs/>
              </w:rPr>
              <w:t>Transfer to others</w:t>
            </w:r>
          </w:p>
        </w:tc>
        <w:tc>
          <w:tcPr>
            <w:tcW w:w="5230" w:type="dxa"/>
            <w:shd w:val="clear" w:color="auto" w:fill="060645"/>
          </w:tcPr>
          <w:p w14:paraId="589F6468" w14:textId="77777777" w:rsidR="00A50E2B" w:rsidRDefault="00A50E2B" w:rsidP="00A50E2B">
            <w:pPr>
              <w:rPr>
                <w:b/>
                <w:bCs/>
              </w:rPr>
            </w:pPr>
            <w:r>
              <w:rPr>
                <w:b/>
                <w:bCs/>
              </w:rPr>
              <w:t>Throughout project lifecycle</w:t>
            </w:r>
          </w:p>
          <w:p w14:paraId="176CAE87" w14:textId="50C966B2" w:rsidR="00A50E2B" w:rsidRPr="00012FF9" w:rsidRDefault="00A50E2B" w:rsidP="00A50E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</w:tc>
        <w:tc>
          <w:tcPr>
            <w:tcW w:w="5230" w:type="dxa"/>
            <w:shd w:val="clear" w:color="auto" w:fill="060645"/>
          </w:tcPr>
          <w:p w14:paraId="0BDDF193" w14:textId="77777777" w:rsidR="00A50E2B" w:rsidRDefault="00A50E2B" w:rsidP="00A50E2B">
            <w:pPr>
              <w:rPr>
                <w:b/>
                <w:bCs/>
              </w:rPr>
            </w:pPr>
            <w:r>
              <w:rPr>
                <w:b/>
                <w:bCs/>
              </w:rPr>
              <w:t>A year after completion of the project</w:t>
            </w:r>
          </w:p>
          <w:p w14:paraId="3F70209F" w14:textId="5C8946AE" w:rsidR="00A50E2B" w:rsidRPr="00012FF9" w:rsidRDefault="00A50E2B" w:rsidP="00A50E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</w:tc>
        <w:tc>
          <w:tcPr>
            <w:tcW w:w="5231" w:type="dxa"/>
            <w:shd w:val="clear" w:color="auto" w:fill="060645"/>
          </w:tcPr>
          <w:p w14:paraId="1969567B" w14:textId="77777777" w:rsidR="00A50E2B" w:rsidRDefault="00A50E2B" w:rsidP="00A50E2B">
            <w:pPr>
              <w:rPr>
                <w:b/>
                <w:bCs/>
              </w:rPr>
            </w:pPr>
            <w:r>
              <w:rPr>
                <w:b/>
                <w:bCs/>
              </w:rPr>
              <w:t>Two years after completion of the project</w:t>
            </w:r>
          </w:p>
          <w:p w14:paraId="78092D60" w14:textId="79277B48" w:rsidR="00A50E2B" w:rsidRPr="00012FF9" w:rsidRDefault="00A50E2B" w:rsidP="00A50E2B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</w:tr>
      <w:tr w:rsidR="0043466D" w14:paraId="70230F4E" w14:textId="131EA108" w:rsidTr="00A84ABB">
        <w:tc>
          <w:tcPr>
            <w:tcW w:w="5230" w:type="dxa"/>
          </w:tcPr>
          <w:p w14:paraId="1AD0CBED" w14:textId="77777777" w:rsidR="0043466D" w:rsidRPr="00CE74F2" w:rsidRDefault="0043466D">
            <w:pPr>
              <w:rPr>
                <w:b/>
                <w:bCs/>
              </w:rPr>
            </w:pPr>
            <w:r w:rsidRPr="00CE74F2">
              <w:rPr>
                <w:b/>
                <w:bCs/>
              </w:rPr>
              <w:t xml:space="preserve">4. Discipline-based teaching, </w:t>
            </w:r>
            <w:proofErr w:type="gramStart"/>
            <w:r w:rsidRPr="00CE74F2">
              <w:rPr>
                <w:b/>
                <w:bCs/>
              </w:rPr>
              <w:t>research</w:t>
            </w:r>
            <w:proofErr w:type="gramEnd"/>
            <w:r w:rsidRPr="00CE74F2">
              <w:rPr>
                <w:b/>
                <w:bCs/>
              </w:rPr>
              <w:t xml:space="preserve"> and practice</w:t>
            </w:r>
          </w:p>
          <w:p w14:paraId="4F231A1B" w14:textId="77777777" w:rsidR="0043466D" w:rsidRDefault="0043466D"/>
          <w:p w14:paraId="07829585" w14:textId="1B781D1F" w:rsidR="0043466D" w:rsidRPr="00CE74F2" w:rsidRDefault="0043466D">
            <w:pPr>
              <w:rPr>
                <w:i/>
                <w:iCs/>
                <w:sz w:val="20"/>
                <w:szCs w:val="20"/>
              </w:rPr>
            </w:pPr>
            <w:r w:rsidRPr="00CE74F2">
              <w:rPr>
                <w:i/>
                <w:iCs/>
                <w:sz w:val="20"/>
                <w:szCs w:val="20"/>
              </w:rPr>
              <w:t>Change in the ways in which subject concepts are taught; leading to discipline-based research; uptake of outputs in industry practice.</w:t>
            </w:r>
          </w:p>
        </w:tc>
        <w:tc>
          <w:tcPr>
            <w:tcW w:w="5230" w:type="dxa"/>
          </w:tcPr>
          <w:p w14:paraId="37AEC005" w14:textId="77777777" w:rsidR="0043466D" w:rsidRDefault="0043466D"/>
        </w:tc>
        <w:tc>
          <w:tcPr>
            <w:tcW w:w="5230" w:type="dxa"/>
          </w:tcPr>
          <w:p w14:paraId="46095C34" w14:textId="77777777" w:rsidR="0043466D" w:rsidRDefault="0043466D"/>
        </w:tc>
        <w:tc>
          <w:tcPr>
            <w:tcW w:w="5231" w:type="dxa"/>
          </w:tcPr>
          <w:p w14:paraId="19146BC7" w14:textId="77777777" w:rsidR="0043466D" w:rsidRDefault="0043466D"/>
        </w:tc>
      </w:tr>
      <w:tr w:rsidR="0043466D" w14:paraId="35E6A23F" w14:textId="3F7769CA" w:rsidTr="00A84ABB">
        <w:tc>
          <w:tcPr>
            <w:tcW w:w="5230" w:type="dxa"/>
          </w:tcPr>
          <w:p w14:paraId="686E3C9A" w14:textId="77777777" w:rsidR="0043466D" w:rsidRPr="00CE74F2" w:rsidRDefault="0043466D">
            <w:pPr>
              <w:rPr>
                <w:b/>
                <w:bCs/>
              </w:rPr>
            </w:pPr>
            <w:r w:rsidRPr="00CE74F2">
              <w:rPr>
                <w:b/>
                <w:bCs/>
              </w:rPr>
              <w:t>5. Dissemination of project’s outcomes</w:t>
            </w:r>
          </w:p>
          <w:p w14:paraId="0601E54F" w14:textId="77777777" w:rsidR="0043466D" w:rsidRDefault="0043466D"/>
          <w:p w14:paraId="0C0F0A11" w14:textId="13C31AD5" w:rsidR="0043466D" w:rsidRPr="00CE74F2" w:rsidRDefault="0043466D">
            <w:pPr>
              <w:rPr>
                <w:i/>
                <w:iCs/>
                <w:sz w:val="20"/>
                <w:szCs w:val="20"/>
              </w:rPr>
            </w:pPr>
            <w:r w:rsidRPr="00CE74F2">
              <w:rPr>
                <w:i/>
                <w:iCs/>
                <w:sz w:val="20"/>
                <w:szCs w:val="20"/>
              </w:rPr>
              <w:t xml:space="preserve">Number of publications from the project; impact factor of individual journals or conferences; publications with students as co-authors; Google Scholar analytics or institutional analytics (e.g., OU’s </w:t>
            </w:r>
            <w:hyperlink r:id="rId12" w:history="1">
              <w:r w:rsidRPr="00CE74F2">
                <w:rPr>
                  <w:rStyle w:val="Hyperlink"/>
                  <w:i/>
                  <w:iCs/>
                  <w:sz w:val="20"/>
                  <w:szCs w:val="20"/>
                </w:rPr>
                <w:t>ORO</w:t>
              </w:r>
            </w:hyperlink>
            <w:r w:rsidRPr="00CE74F2">
              <w:rPr>
                <w:i/>
                <w:iCs/>
                <w:sz w:val="20"/>
                <w:szCs w:val="20"/>
              </w:rPr>
              <w:t xml:space="preserve"> on downloads of reports/publications; and sharing of novel research methods/strategies for conducting </w:t>
            </w:r>
            <w:proofErr w:type="spellStart"/>
            <w:r w:rsidRPr="00CE74F2">
              <w:rPr>
                <w:i/>
                <w:iCs/>
                <w:sz w:val="20"/>
                <w:szCs w:val="20"/>
              </w:rPr>
              <w:t>SoTL</w:t>
            </w:r>
            <w:proofErr w:type="spellEnd"/>
            <w:r w:rsidRPr="00CE74F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230" w:type="dxa"/>
          </w:tcPr>
          <w:p w14:paraId="3801E2DA" w14:textId="77777777" w:rsidR="0043466D" w:rsidRDefault="0043466D"/>
        </w:tc>
        <w:tc>
          <w:tcPr>
            <w:tcW w:w="5230" w:type="dxa"/>
          </w:tcPr>
          <w:p w14:paraId="3B689345" w14:textId="77777777" w:rsidR="0043466D" w:rsidRDefault="0043466D"/>
        </w:tc>
        <w:tc>
          <w:tcPr>
            <w:tcW w:w="5231" w:type="dxa"/>
          </w:tcPr>
          <w:p w14:paraId="63224292" w14:textId="77777777" w:rsidR="0043466D" w:rsidRDefault="0043466D"/>
        </w:tc>
      </w:tr>
      <w:tr w:rsidR="0043466D" w14:paraId="2C6BA3E6" w14:textId="3460D33A" w:rsidTr="00A84ABB">
        <w:tc>
          <w:tcPr>
            <w:tcW w:w="5230" w:type="dxa"/>
          </w:tcPr>
          <w:p w14:paraId="6E446768" w14:textId="77777777" w:rsidR="0043466D" w:rsidRPr="00CE74F2" w:rsidRDefault="0043466D">
            <w:pPr>
              <w:rPr>
                <w:b/>
                <w:bCs/>
              </w:rPr>
            </w:pPr>
            <w:r w:rsidRPr="00CE74F2">
              <w:rPr>
                <w:b/>
                <w:bCs/>
              </w:rPr>
              <w:t>6. Adoption of the outcomes</w:t>
            </w:r>
          </w:p>
          <w:p w14:paraId="1B39C5EC" w14:textId="77777777" w:rsidR="0043466D" w:rsidRDefault="0043466D"/>
          <w:p w14:paraId="6BEB1F1B" w14:textId="09502FB7" w:rsidR="0043466D" w:rsidRPr="00CE74F2" w:rsidRDefault="0043466D">
            <w:pPr>
              <w:rPr>
                <w:i/>
                <w:iCs/>
                <w:sz w:val="20"/>
                <w:szCs w:val="20"/>
              </w:rPr>
            </w:pPr>
            <w:r w:rsidRPr="00CE74F2">
              <w:rPr>
                <w:i/>
                <w:iCs/>
                <w:sz w:val="20"/>
                <w:szCs w:val="20"/>
              </w:rPr>
              <w:t>Adoption of the outcomes internally (within the institution) or externally to improve assessment, curriculum design in the same discipline or in other disciplines.</w:t>
            </w:r>
          </w:p>
        </w:tc>
        <w:tc>
          <w:tcPr>
            <w:tcW w:w="5230" w:type="dxa"/>
          </w:tcPr>
          <w:p w14:paraId="36152EF1" w14:textId="77777777" w:rsidR="0043466D" w:rsidRDefault="0043466D"/>
        </w:tc>
        <w:tc>
          <w:tcPr>
            <w:tcW w:w="5230" w:type="dxa"/>
          </w:tcPr>
          <w:p w14:paraId="65B6AF30" w14:textId="77777777" w:rsidR="0043466D" w:rsidRDefault="0043466D"/>
        </w:tc>
        <w:tc>
          <w:tcPr>
            <w:tcW w:w="5231" w:type="dxa"/>
          </w:tcPr>
          <w:p w14:paraId="0194190A" w14:textId="77777777" w:rsidR="0043466D" w:rsidRDefault="0043466D"/>
        </w:tc>
      </w:tr>
      <w:tr w:rsidR="00A50E2B" w14:paraId="38000BAB" w14:textId="29913441">
        <w:tc>
          <w:tcPr>
            <w:tcW w:w="5230" w:type="dxa"/>
            <w:shd w:val="clear" w:color="auto" w:fill="060645"/>
          </w:tcPr>
          <w:p w14:paraId="4E0931DE" w14:textId="77777777" w:rsidR="00A50E2B" w:rsidRPr="00012FF9" w:rsidRDefault="00A50E2B" w:rsidP="00A50E2B">
            <w:pPr>
              <w:rPr>
                <w:b/>
                <w:bCs/>
              </w:rPr>
            </w:pPr>
            <w:r w:rsidRPr="00012FF9">
              <w:rPr>
                <w:b/>
                <w:bCs/>
              </w:rPr>
              <w:t>Stakeholder benefits</w:t>
            </w:r>
          </w:p>
        </w:tc>
        <w:tc>
          <w:tcPr>
            <w:tcW w:w="5230" w:type="dxa"/>
            <w:shd w:val="clear" w:color="auto" w:fill="060645"/>
          </w:tcPr>
          <w:p w14:paraId="052D33FE" w14:textId="77777777" w:rsidR="00A50E2B" w:rsidRDefault="00A50E2B" w:rsidP="00A50E2B">
            <w:pPr>
              <w:rPr>
                <w:b/>
                <w:bCs/>
              </w:rPr>
            </w:pPr>
            <w:r>
              <w:rPr>
                <w:b/>
                <w:bCs/>
              </w:rPr>
              <w:t>Throughout project lifecycle</w:t>
            </w:r>
          </w:p>
          <w:p w14:paraId="51CAEEA2" w14:textId="0E27DE7D" w:rsidR="00A50E2B" w:rsidRPr="00012FF9" w:rsidRDefault="00A50E2B" w:rsidP="00A50E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</w:tc>
        <w:tc>
          <w:tcPr>
            <w:tcW w:w="5230" w:type="dxa"/>
            <w:shd w:val="clear" w:color="auto" w:fill="060645"/>
          </w:tcPr>
          <w:p w14:paraId="7F9411BB" w14:textId="77777777" w:rsidR="00A50E2B" w:rsidRDefault="00A50E2B" w:rsidP="00A50E2B">
            <w:pPr>
              <w:rPr>
                <w:b/>
                <w:bCs/>
              </w:rPr>
            </w:pPr>
            <w:r>
              <w:rPr>
                <w:b/>
                <w:bCs/>
              </w:rPr>
              <w:t>A year after completion of the project</w:t>
            </w:r>
          </w:p>
          <w:p w14:paraId="7131A6A6" w14:textId="6E793A2D" w:rsidR="00A50E2B" w:rsidRPr="00012FF9" w:rsidRDefault="00A50E2B" w:rsidP="00A50E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</w:tc>
        <w:tc>
          <w:tcPr>
            <w:tcW w:w="5231" w:type="dxa"/>
            <w:shd w:val="clear" w:color="auto" w:fill="060645"/>
          </w:tcPr>
          <w:p w14:paraId="3BB9CB4E" w14:textId="77777777" w:rsidR="00A50E2B" w:rsidRDefault="00A50E2B" w:rsidP="00A50E2B">
            <w:pPr>
              <w:rPr>
                <w:b/>
                <w:bCs/>
              </w:rPr>
            </w:pPr>
            <w:r>
              <w:rPr>
                <w:b/>
                <w:bCs/>
              </w:rPr>
              <w:t>Two years after completion of the project</w:t>
            </w:r>
          </w:p>
          <w:p w14:paraId="428E6E1E" w14:textId="61B94C05" w:rsidR="00A50E2B" w:rsidRPr="00012FF9" w:rsidRDefault="00A50E2B" w:rsidP="00A50E2B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</w:tr>
      <w:tr w:rsidR="0043466D" w14:paraId="121209FC" w14:textId="6D234555" w:rsidTr="00A84ABB">
        <w:tc>
          <w:tcPr>
            <w:tcW w:w="5230" w:type="dxa"/>
          </w:tcPr>
          <w:p w14:paraId="600F9586" w14:textId="77777777" w:rsidR="0043466D" w:rsidRPr="0043466D" w:rsidRDefault="0043466D">
            <w:pPr>
              <w:rPr>
                <w:b/>
                <w:bCs/>
              </w:rPr>
            </w:pPr>
            <w:r w:rsidRPr="0043466D">
              <w:rPr>
                <w:b/>
                <w:bCs/>
              </w:rPr>
              <w:t>7. Mutual stakeholder understanding</w:t>
            </w:r>
          </w:p>
          <w:p w14:paraId="7468734D" w14:textId="77777777" w:rsidR="0043466D" w:rsidRDefault="0043466D"/>
          <w:p w14:paraId="05408813" w14:textId="7EAF0CAB" w:rsidR="0043466D" w:rsidRPr="0043466D" w:rsidRDefault="0043466D">
            <w:pPr>
              <w:rPr>
                <w:i/>
                <w:iCs/>
                <w:sz w:val="20"/>
                <w:szCs w:val="20"/>
              </w:rPr>
            </w:pPr>
            <w:r w:rsidRPr="0043466D">
              <w:rPr>
                <w:i/>
                <w:iCs/>
                <w:sz w:val="20"/>
                <w:szCs w:val="20"/>
              </w:rPr>
              <w:t xml:space="preserve">Understanding among students, tutors, learning designers, IT support; for example, their skills, challenges, requirements; a community that </w:t>
            </w:r>
            <w:proofErr w:type="spellStart"/>
            <w:r w:rsidRPr="0043466D">
              <w:rPr>
                <w:i/>
                <w:iCs/>
                <w:sz w:val="20"/>
                <w:szCs w:val="20"/>
              </w:rPr>
              <w:t>SoTL</w:t>
            </w:r>
            <w:proofErr w:type="spellEnd"/>
            <w:r w:rsidRPr="0043466D">
              <w:rPr>
                <w:i/>
                <w:iCs/>
                <w:sz w:val="20"/>
                <w:szCs w:val="20"/>
              </w:rPr>
              <w:t xml:space="preserve"> creates and moving outside traditional silos.</w:t>
            </w:r>
          </w:p>
        </w:tc>
        <w:tc>
          <w:tcPr>
            <w:tcW w:w="5230" w:type="dxa"/>
          </w:tcPr>
          <w:p w14:paraId="17B104DD" w14:textId="77777777" w:rsidR="0043466D" w:rsidRDefault="0043466D"/>
        </w:tc>
        <w:tc>
          <w:tcPr>
            <w:tcW w:w="5230" w:type="dxa"/>
          </w:tcPr>
          <w:p w14:paraId="7D146274" w14:textId="77777777" w:rsidR="0043466D" w:rsidRDefault="0043466D"/>
        </w:tc>
        <w:tc>
          <w:tcPr>
            <w:tcW w:w="5231" w:type="dxa"/>
          </w:tcPr>
          <w:p w14:paraId="7D27BA86" w14:textId="77777777" w:rsidR="0043466D" w:rsidRDefault="0043466D"/>
        </w:tc>
      </w:tr>
      <w:tr w:rsidR="0043466D" w14:paraId="7E82B8C8" w14:textId="782B8F34" w:rsidTr="00A84ABB">
        <w:tc>
          <w:tcPr>
            <w:tcW w:w="5230" w:type="dxa"/>
          </w:tcPr>
          <w:p w14:paraId="34E4C9CA" w14:textId="77777777" w:rsidR="0043466D" w:rsidRPr="0043466D" w:rsidRDefault="0043466D">
            <w:pPr>
              <w:rPr>
                <w:b/>
                <w:bCs/>
              </w:rPr>
            </w:pPr>
            <w:r w:rsidRPr="0043466D">
              <w:rPr>
                <w:b/>
                <w:bCs/>
              </w:rPr>
              <w:t>8. Personal and professional development of project team and associated stakeholders</w:t>
            </w:r>
          </w:p>
          <w:p w14:paraId="469CF92C" w14:textId="77777777" w:rsidR="0043466D" w:rsidRDefault="0043466D"/>
          <w:p w14:paraId="4E3027E7" w14:textId="2E634C44" w:rsidR="0043466D" w:rsidRPr="0043466D" w:rsidRDefault="0043466D">
            <w:pPr>
              <w:rPr>
                <w:i/>
                <w:iCs/>
                <w:sz w:val="20"/>
                <w:szCs w:val="20"/>
              </w:rPr>
            </w:pPr>
            <w:r w:rsidRPr="0043466D">
              <w:rPr>
                <w:i/>
                <w:iCs/>
                <w:sz w:val="20"/>
                <w:szCs w:val="20"/>
              </w:rPr>
              <w:lastRenderedPageBreak/>
              <w:t xml:space="preserve">Improved practice or personal knowledge; developing an analytical mind-set; collaborative or team-working skills; reflective skills; becoming a mentor to others; becoming a champion for </w:t>
            </w:r>
            <w:proofErr w:type="spellStart"/>
            <w:r w:rsidRPr="0043466D">
              <w:rPr>
                <w:i/>
                <w:iCs/>
                <w:sz w:val="20"/>
                <w:szCs w:val="20"/>
              </w:rPr>
              <w:t>SoTL</w:t>
            </w:r>
            <w:proofErr w:type="spellEnd"/>
            <w:r w:rsidRPr="0043466D">
              <w:rPr>
                <w:i/>
                <w:iCs/>
                <w:sz w:val="20"/>
                <w:szCs w:val="20"/>
              </w:rPr>
              <w:t xml:space="preserve">; continuity in </w:t>
            </w:r>
            <w:proofErr w:type="spellStart"/>
            <w:r w:rsidRPr="0043466D">
              <w:rPr>
                <w:i/>
                <w:iCs/>
                <w:sz w:val="20"/>
                <w:szCs w:val="20"/>
              </w:rPr>
              <w:t>SoTL</w:t>
            </w:r>
            <w:proofErr w:type="spellEnd"/>
            <w:r w:rsidRPr="0043466D">
              <w:rPr>
                <w:i/>
                <w:iCs/>
                <w:sz w:val="20"/>
                <w:szCs w:val="20"/>
              </w:rPr>
              <w:t xml:space="preserve"> activity by individual educators.</w:t>
            </w:r>
          </w:p>
        </w:tc>
        <w:tc>
          <w:tcPr>
            <w:tcW w:w="5230" w:type="dxa"/>
          </w:tcPr>
          <w:p w14:paraId="28779AD1" w14:textId="77777777" w:rsidR="0043466D" w:rsidRDefault="0043466D"/>
        </w:tc>
        <w:tc>
          <w:tcPr>
            <w:tcW w:w="5230" w:type="dxa"/>
          </w:tcPr>
          <w:p w14:paraId="0F7B0BDC" w14:textId="77777777" w:rsidR="0043466D" w:rsidRDefault="0043466D"/>
        </w:tc>
        <w:tc>
          <w:tcPr>
            <w:tcW w:w="5231" w:type="dxa"/>
          </w:tcPr>
          <w:p w14:paraId="3A21A6B7" w14:textId="77777777" w:rsidR="0043466D" w:rsidRDefault="0043466D"/>
        </w:tc>
      </w:tr>
      <w:tr w:rsidR="0043466D" w14:paraId="7CB90064" w14:textId="380598D1" w:rsidTr="00A84ABB">
        <w:tc>
          <w:tcPr>
            <w:tcW w:w="5230" w:type="dxa"/>
          </w:tcPr>
          <w:p w14:paraId="4DD82B1D" w14:textId="77777777" w:rsidR="0043466D" w:rsidRPr="0043466D" w:rsidRDefault="0043466D">
            <w:pPr>
              <w:rPr>
                <w:b/>
                <w:bCs/>
              </w:rPr>
            </w:pPr>
            <w:r w:rsidRPr="0043466D">
              <w:rPr>
                <w:b/>
                <w:bCs/>
              </w:rPr>
              <w:t>9. Recognition of project team members and other stakeholders</w:t>
            </w:r>
          </w:p>
          <w:p w14:paraId="4BF10282" w14:textId="77777777" w:rsidR="0043466D" w:rsidRDefault="0043466D"/>
          <w:p w14:paraId="6081B08B" w14:textId="4D004791" w:rsidR="0043466D" w:rsidRPr="0043466D" w:rsidRDefault="0043466D">
            <w:pPr>
              <w:rPr>
                <w:i/>
                <w:iCs/>
                <w:sz w:val="20"/>
                <w:szCs w:val="20"/>
              </w:rPr>
            </w:pPr>
            <w:r w:rsidRPr="0043466D">
              <w:rPr>
                <w:i/>
                <w:iCs/>
                <w:sz w:val="20"/>
                <w:szCs w:val="20"/>
              </w:rPr>
              <w:t xml:space="preserve">Career trajectory that can be attributed to </w:t>
            </w:r>
            <w:proofErr w:type="spellStart"/>
            <w:r w:rsidRPr="0043466D">
              <w:rPr>
                <w:i/>
                <w:iCs/>
                <w:sz w:val="20"/>
                <w:szCs w:val="20"/>
              </w:rPr>
              <w:t>SoTL</w:t>
            </w:r>
            <w:proofErr w:type="spellEnd"/>
            <w:r w:rsidRPr="0043466D">
              <w:rPr>
                <w:i/>
                <w:iCs/>
                <w:sz w:val="20"/>
                <w:szCs w:val="20"/>
              </w:rPr>
              <w:t xml:space="preserve"> such as promotions; fellowships or memberships of </w:t>
            </w:r>
            <w:r w:rsidRPr="00AA6BD0">
              <w:rPr>
                <w:i/>
                <w:iCs/>
                <w:sz w:val="20"/>
                <w:szCs w:val="20"/>
              </w:rPr>
              <w:t>professional associations nationally and internationally; invited speaker to events/conferences internally and externally; public recognition through awards, publications, conference presentations; leadership roles related to teaching and membership of strategic committees; external examiner and membership of external bodies.</w:t>
            </w:r>
          </w:p>
        </w:tc>
        <w:tc>
          <w:tcPr>
            <w:tcW w:w="5230" w:type="dxa"/>
          </w:tcPr>
          <w:p w14:paraId="6A5EB5A3" w14:textId="77777777" w:rsidR="0043466D" w:rsidRDefault="0043466D"/>
        </w:tc>
        <w:tc>
          <w:tcPr>
            <w:tcW w:w="5230" w:type="dxa"/>
          </w:tcPr>
          <w:p w14:paraId="4E6B12B1" w14:textId="77777777" w:rsidR="0043466D" w:rsidRDefault="0043466D"/>
        </w:tc>
        <w:tc>
          <w:tcPr>
            <w:tcW w:w="5231" w:type="dxa"/>
          </w:tcPr>
          <w:p w14:paraId="49C457B3" w14:textId="77777777" w:rsidR="0043466D" w:rsidRDefault="0043466D"/>
        </w:tc>
      </w:tr>
      <w:tr w:rsidR="00A50E2B" w14:paraId="58F25F80" w14:textId="0C655CB3">
        <w:tc>
          <w:tcPr>
            <w:tcW w:w="5230" w:type="dxa"/>
            <w:shd w:val="clear" w:color="auto" w:fill="060645"/>
          </w:tcPr>
          <w:p w14:paraId="226511D2" w14:textId="061172C2" w:rsidR="00A50E2B" w:rsidRPr="00012FF9" w:rsidRDefault="00A50E2B" w:rsidP="00A50E2B">
            <w:pPr>
              <w:rPr>
                <w:b/>
                <w:bCs/>
              </w:rPr>
            </w:pPr>
            <w:r w:rsidRPr="00012FF9">
              <w:rPr>
                <w:b/>
                <w:bCs/>
              </w:rPr>
              <w:t>Cultural</w:t>
            </w:r>
            <w:r w:rsidR="00EE1981">
              <w:rPr>
                <w:b/>
                <w:bCs/>
              </w:rPr>
              <w:t xml:space="preserve">, </w:t>
            </w:r>
            <w:proofErr w:type="gramStart"/>
            <w:r w:rsidRPr="00012FF9">
              <w:rPr>
                <w:b/>
                <w:bCs/>
              </w:rPr>
              <w:t>economic</w:t>
            </w:r>
            <w:proofErr w:type="gramEnd"/>
            <w:r w:rsidRPr="00012FF9">
              <w:rPr>
                <w:b/>
                <w:bCs/>
              </w:rPr>
              <w:t xml:space="preserve"> </w:t>
            </w:r>
            <w:r w:rsidR="00EE1981">
              <w:rPr>
                <w:b/>
                <w:bCs/>
              </w:rPr>
              <w:t xml:space="preserve">and institutional </w:t>
            </w:r>
            <w:r w:rsidRPr="00012FF9">
              <w:rPr>
                <w:b/>
                <w:bCs/>
              </w:rPr>
              <w:t>benefits</w:t>
            </w:r>
          </w:p>
        </w:tc>
        <w:tc>
          <w:tcPr>
            <w:tcW w:w="5230" w:type="dxa"/>
            <w:shd w:val="clear" w:color="auto" w:fill="060645"/>
          </w:tcPr>
          <w:p w14:paraId="5065AE1C" w14:textId="77777777" w:rsidR="00A50E2B" w:rsidRDefault="00A50E2B" w:rsidP="00A50E2B">
            <w:pPr>
              <w:rPr>
                <w:b/>
                <w:bCs/>
              </w:rPr>
            </w:pPr>
            <w:r>
              <w:rPr>
                <w:b/>
                <w:bCs/>
              </w:rPr>
              <w:t>Throughout project lifecycle</w:t>
            </w:r>
          </w:p>
          <w:p w14:paraId="1A695D90" w14:textId="72D5A6ED" w:rsidR="00A50E2B" w:rsidRPr="00012FF9" w:rsidRDefault="00A50E2B" w:rsidP="00A50E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</w:tc>
        <w:tc>
          <w:tcPr>
            <w:tcW w:w="5230" w:type="dxa"/>
            <w:shd w:val="clear" w:color="auto" w:fill="060645"/>
          </w:tcPr>
          <w:p w14:paraId="7B8BBC2C" w14:textId="77777777" w:rsidR="00A50E2B" w:rsidRDefault="00A50E2B" w:rsidP="00A50E2B">
            <w:pPr>
              <w:rPr>
                <w:b/>
                <w:bCs/>
              </w:rPr>
            </w:pPr>
            <w:r>
              <w:rPr>
                <w:b/>
                <w:bCs/>
              </w:rPr>
              <w:t>A year after completion of the project</w:t>
            </w:r>
          </w:p>
          <w:p w14:paraId="57372099" w14:textId="3ABEDE0B" w:rsidR="00A50E2B" w:rsidRPr="00012FF9" w:rsidRDefault="00A50E2B" w:rsidP="00A50E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</w:p>
        </w:tc>
        <w:tc>
          <w:tcPr>
            <w:tcW w:w="5231" w:type="dxa"/>
            <w:shd w:val="clear" w:color="auto" w:fill="060645"/>
          </w:tcPr>
          <w:p w14:paraId="475921CA" w14:textId="77777777" w:rsidR="00A50E2B" w:rsidRDefault="00A50E2B" w:rsidP="00A50E2B">
            <w:pPr>
              <w:rPr>
                <w:b/>
                <w:bCs/>
              </w:rPr>
            </w:pPr>
            <w:r>
              <w:rPr>
                <w:b/>
                <w:bCs/>
              </w:rPr>
              <w:t>Two years after completion of the project</w:t>
            </w:r>
          </w:p>
          <w:p w14:paraId="27A1FD5F" w14:textId="41721B66" w:rsidR="00A50E2B" w:rsidRPr="00012FF9" w:rsidRDefault="00A50E2B" w:rsidP="00A50E2B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</w:tr>
      <w:tr w:rsidR="0043466D" w14:paraId="0B71BC5E" w14:textId="0C81DDC9" w:rsidTr="00A84ABB">
        <w:tc>
          <w:tcPr>
            <w:tcW w:w="5230" w:type="dxa"/>
          </w:tcPr>
          <w:p w14:paraId="2C18BBE2" w14:textId="77777777" w:rsidR="0043466D" w:rsidRPr="0043466D" w:rsidRDefault="0043466D">
            <w:pPr>
              <w:rPr>
                <w:b/>
                <w:bCs/>
              </w:rPr>
            </w:pPr>
            <w:r w:rsidRPr="0043466D">
              <w:rPr>
                <w:b/>
                <w:bCs/>
              </w:rPr>
              <w:t xml:space="preserve">10. Fostering of </w:t>
            </w:r>
            <w:proofErr w:type="spellStart"/>
            <w:r w:rsidRPr="0043466D">
              <w:rPr>
                <w:b/>
                <w:bCs/>
              </w:rPr>
              <w:t>SoTL</w:t>
            </w:r>
            <w:proofErr w:type="spellEnd"/>
            <w:r w:rsidRPr="0043466D">
              <w:rPr>
                <w:b/>
                <w:bCs/>
              </w:rPr>
              <w:t xml:space="preserve"> culture</w:t>
            </w:r>
          </w:p>
          <w:p w14:paraId="5FD40B73" w14:textId="77777777" w:rsidR="0043466D" w:rsidRDefault="0043466D"/>
          <w:p w14:paraId="3D8551A1" w14:textId="6B589CBB" w:rsidR="0043466D" w:rsidRPr="0043466D" w:rsidRDefault="0043466D">
            <w:pPr>
              <w:rPr>
                <w:i/>
                <w:iCs/>
                <w:sz w:val="20"/>
                <w:szCs w:val="20"/>
              </w:rPr>
            </w:pPr>
            <w:r w:rsidRPr="0043466D">
              <w:rPr>
                <w:i/>
                <w:iCs/>
                <w:sz w:val="20"/>
                <w:szCs w:val="20"/>
              </w:rPr>
              <w:t xml:space="preserve">Stimulating interest in </w:t>
            </w:r>
            <w:proofErr w:type="spellStart"/>
            <w:r w:rsidRPr="0043466D">
              <w:rPr>
                <w:i/>
                <w:iCs/>
                <w:sz w:val="20"/>
                <w:szCs w:val="20"/>
              </w:rPr>
              <w:t>SoTL</w:t>
            </w:r>
            <w:proofErr w:type="spellEnd"/>
            <w:r w:rsidRPr="0043466D">
              <w:rPr>
                <w:i/>
                <w:iCs/>
                <w:sz w:val="20"/>
                <w:szCs w:val="20"/>
              </w:rPr>
              <w:t xml:space="preserve">; inspiring others to conduct </w:t>
            </w:r>
            <w:proofErr w:type="spellStart"/>
            <w:r w:rsidRPr="0043466D">
              <w:rPr>
                <w:i/>
                <w:iCs/>
                <w:sz w:val="20"/>
                <w:szCs w:val="20"/>
              </w:rPr>
              <w:t>SoTL</w:t>
            </w:r>
            <w:proofErr w:type="spellEnd"/>
            <w:r w:rsidRPr="0043466D">
              <w:rPr>
                <w:i/>
                <w:iCs/>
                <w:sz w:val="20"/>
                <w:szCs w:val="20"/>
              </w:rPr>
              <w:t xml:space="preserve">; increased involvement of students in </w:t>
            </w:r>
            <w:proofErr w:type="spellStart"/>
            <w:r w:rsidRPr="0043466D">
              <w:rPr>
                <w:i/>
                <w:iCs/>
                <w:sz w:val="20"/>
                <w:szCs w:val="20"/>
              </w:rPr>
              <w:t>SoTL</w:t>
            </w:r>
            <w:proofErr w:type="spellEnd"/>
            <w:r w:rsidRPr="0043466D">
              <w:rPr>
                <w:i/>
                <w:iCs/>
                <w:sz w:val="20"/>
                <w:szCs w:val="20"/>
              </w:rPr>
              <w:t xml:space="preserve"> projects; a stronger overall faculty that values teaching and student learning; renewing/raising faculty excitement about teaching and making them more aware of how they teach; a move towards staff-student collaboration in curriculum design, </w:t>
            </w:r>
            <w:proofErr w:type="gramStart"/>
            <w:r w:rsidRPr="0043466D">
              <w:rPr>
                <w:i/>
                <w:iCs/>
                <w:sz w:val="20"/>
                <w:szCs w:val="20"/>
              </w:rPr>
              <w:t>development</w:t>
            </w:r>
            <w:proofErr w:type="gramEnd"/>
            <w:r w:rsidRPr="0043466D">
              <w:rPr>
                <w:i/>
                <w:iCs/>
                <w:sz w:val="20"/>
                <w:szCs w:val="20"/>
              </w:rPr>
              <w:t xml:space="preserve"> and evaluation; recognition of </w:t>
            </w:r>
            <w:proofErr w:type="spellStart"/>
            <w:r w:rsidRPr="0043466D">
              <w:rPr>
                <w:i/>
                <w:iCs/>
                <w:sz w:val="20"/>
                <w:szCs w:val="20"/>
              </w:rPr>
              <w:t>SoTL</w:t>
            </w:r>
            <w:proofErr w:type="spellEnd"/>
            <w:r w:rsidRPr="0043466D">
              <w:rPr>
                <w:i/>
                <w:iCs/>
                <w:sz w:val="20"/>
                <w:szCs w:val="20"/>
              </w:rPr>
              <w:t xml:space="preserve"> at par with disciplinary research.</w:t>
            </w:r>
          </w:p>
        </w:tc>
        <w:tc>
          <w:tcPr>
            <w:tcW w:w="5230" w:type="dxa"/>
          </w:tcPr>
          <w:p w14:paraId="3E9953C5" w14:textId="77777777" w:rsidR="0043466D" w:rsidRDefault="0043466D"/>
        </w:tc>
        <w:tc>
          <w:tcPr>
            <w:tcW w:w="5230" w:type="dxa"/>
          </w:tcPr>
          <w:p w14:paraId="1B2F94F2" w14:textId="77777777" w:rsidR="0043466D" w:rsidRDefault="0043466D"/>
        </w:tc>
        <w:tc>
          <w:tcPr>
            <w:tcW w:w="5231" w:type="dxa"/>
          </w:tcPr>
          <w:p w14:paraId="6D262B4D" w14:textId="77777777" w:rsidR="0043466D" w:rsidRDefault="0043466D"/>
        </w:tc>
      </w:tr>
      <w:tr w:rsidR="0043466D" w14:paraId="68E4309B" w14:textId="6C582D85" w:rsidTr="00A84ABB">
        <w:tc>
          <w:tcPr>
            <w:tcW w:w="5230" w:type="dxa"/>
          </w:tcPr>
          <w:p w14:paraId="5C4EE613" w14:textId="77777777" w:rsidR="0043466D" w:rsidRPr="0043466D" w:rsidRDefault="0043466D">
            <w:pPr>
              <w:rPr>
                <w:b/>
                <w:bCs/>
              </w:rPr>
            </w:pPr>
            <w:r w:rsidRPr="0043466D">
              <w:rPr>
                <w:b/>
                <w:bCs/>
              </w:rPr>
              <w:t>11. Financial implications</w:t>
            </w:r>
          </w:p>
          <w:p w14:paraId="4A665934" w14:textId="77777777" w:rsidR="0043466D" w:rsidRDefault="0043466D"/>
          <w:p w14:paraId="0F3E7724" w14:textId="05382327" w:rsidR="0043466D" w:rsidRPr="0043466D" w:rsidRDefault="0043466D">
            <w:pPr>
              <w:rPr>
                <w:i/>
                <w:iCs/>
                <w:sz w:val="20"/>
                <w:szCs w:val="20"/>
              </w:rPr>
            </w:pPr>
            <w:r w:rsidRPr="0043466D">
              <w:rPr>
                <w:i/>
                <w:iCs/>
                <w:sz w:val="20"/>
                <w:szCs w:val="20"/>
              </w:rPr>
              <w:t>Opportunities for income diversification; effect on costs of modules or programmes.</w:t>
            </w:r>
          </w:p>
        </w:tc>
        <w:tc>
          <w:tcPr>
            <w:tcW w:w="5230" w:type="dxa"/>
          </w:tcPr>
          <w:p w14:paraId="6A6D465D" w14:textId="77777777" w:rsidR="0043466D" w:rsidRDefault="0043466D"/>
        </w:tc>
        <w:tc>
          <w:tcPr>
            <w:tcW w:w="5230" w:type="dxa"/>
          </w:tcPr>
          <w:p w14:paraId="7D315704" w14:textId="77777777" w:rsidR="0043466D" w:rsidRDefault="0043466D"/>
        </w:tc>
        <w:tc>
          <w:tcPr>
            <w:tcW w:w="5231" w:type="dxa"/>
          </w:tcPr>
          <w:p w14:paraId="0DD72D99" w14:textId="77777777" w:rsidR="0043466D" w:rsidRDefault="0043466D"/>
        </w:tc>
      </w:tr>
      <w:tr w:rsidR="0043466D" w14:paraId="45FAEDB2" w14:textId="12FCF7D0" w:rsidTr="00A84ABB">
        <w:tc>
          <w:tcPr>
            <w:tcW w:w="5230" w:type="dxa"/>
          </w:tcPr>
          <w:p w14:paraId="1865868F" w14:textId="77777777" w:rsidR="0043466D" w:rsidRPr="0043466D" w:rsidRDefault="0043466D">
            <w:pPr>
              <w:rPr>
                <w:b/>
                <w:bCs/>
              </w:rPr>
            </w:pPr>
            <w:r w:rsidRPr="0043466D">
              <w:rPr>
                <w:b/>
                <w:bCs/>
              </w:rPr>
              <w:t>12. Funding opportunities</w:t>
            </w:r>
          </w:p>
          <w:p w14:paraId="6510F595" w14:textId="77777777" w:rsidR="0043466D" w:rsidRDefault="0043466D"/>
          <w:p w14:paraId="5A31C634" w14:textId="7D42EBF9" w:rsidR="0043466D" w:rsidRPr="0043466D" w:rsidRDefault="0043466D">
            <w:pPr>
              <w:rPr>
                <w:i/>
                <w:iCs/>
                <w:sz w:val="20"/>
                <w:szCs w:val="20"/>
              </w:rPr>
            </w:pPr>
            <w:r w:rsidRPr="0043466D">
              <w:rPr>
                <w:i/>
                <w:iCs/>
                <w:sz w:val="20"/>
                <w:szCs w:val="20"/>
              </w:rPr>
              <w:t xml:space="preserve">Internal (within the institution) funding for follow-on/new projects based on </w:t>
            </w:r>
            <w:proofErr w:type="spellStart"/>
            <w:r w:rsidRPr="0043466D">
              <w:rPr>
                <w:i/>
                <w:iCs/>
                <w:sz w:val="20"/>
                <w:szCs w:val="20"/>
              </w:rPr>
              <w:t>SoTL</w:t>
            </w:r>
            <w:proofErr w:type="spellEnd"/>
            <w:r w:rsidRPr="0043466D">
              <w:rPr>
                <w:i/>
                <w:iCs/>
                <w:sz w:val="20"/>
                <w:szCs w:val="20"/>
              </w:rPr>
              <w:t xml:space="preserve"> project’s success; external funding (from outside the institution) for follow-on/new projects based on </w:t>
            </w:r>
            <w:proofErr w:type="spellStart"/>
            <w:r w:rsidRPr="0043466D">
              <w:rPr>
                <w:i/>
                <w:iCs/>
                <w:sz w:val="20"/>
                <w:szCs w:val="20"/>
              </w:rPr>
              <w:t>SoTL</w:t>
            </w:r>
            <w:proofErr w:type="spellEnd"/>
            <w:r w:rsidRPr="0043466D">
              <w:rPr>
                <w:i/>
                <w:iCs/>
                <w:sz w:val="20"/>
                <w:szCs w:val="20"/>
              </w:rPr>
              <w:t xml:space="preserve"> project’s success.</w:t>
            </w:r>
          </w:p>
        </w:tc>
        <w:tc>
          <w:tcPr>
            <w:tcW w:w="5230" w:type="dxa"/>
          </w:tcPr>
          <w:p w14:paraId="428DAED4" w14:textId="77777777" w:rsidR="0043466D" w:rsidRDefault="0043466D"/>
        </w:tc>
        <w:tc>
          <w:tcPr>
            <w:tcW w:w="5230" w:type="dxa"/>
          </w:tcPr>
          <w:p w14:paraId="5078D11C" w14:textId="77777777" w:rsidR="0043466D" w:rsidRDefault="0043466D"/>
        </w:tc>
        <w:tc>
          <w:tcPr>
            <w:tcW w:w="5231" w:type="dxa"/>
          </w:tcPr>
          <w:p w14:paraId="0DBBA701" w14:textId="77777777" w:rsidR="0043466D" w:rsidRDefault="0043466D"/>
        </w:tc>
      </w:tr>
    </w:tbl>
    <w:p w14:paraId="7170045B" w14:textId="77777777" w:rsidR="00BD71BA" w:rsidRDefault="00BD71B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0"/>
        <w:gridCol w:w="5230"/>
        <w:gridCol w:w="5230"/>
        <w:gridCol w:w="5231"/>
      </w:tblGrid>
      <w:tr w:rsidR="00EE1981" w14:paraId="61D9A50C" w14:textId="77777777" w:rsidTr="00A84ABB">
        <w:tc>
          <w:tcPr>
            <w:tcW w:w="5230" w:type="dxa"/>
          </w:tcPr>
          <w:p w14:paraId="08C310DC" w14:textId="017144FB" w:rsidR="00EE1981" w:rsidRDefault="00EE198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13. Strengthening OU’s standing</w:t>
            </w:r>
          </w:p>
          <w:p w14:paraId="30BAEB02" w14:textId="77777777" w:rsidR="00EE1981" w:rsidRDefault="00EE1981">
            <w:pPr>
              <w:rPr>
                <w:b/>
                <w:bCs/>
              </w:rPr>
            </w:pPr>
          </w:p>
          <w:p w14:paraId="11F02267" w14:textId="6B8FBB74" w:rsidR="00EE1981" w:rsidRPr="00685EFB" w:rsidRDefault="003C7E2C">
            <w:pPr>
              <w:rPr>
                <w:b/>
                <w:bCs/>
              </w:rPr>
            </w:pPr>
            <w:r w:rsidRPr="00AA6BD0">
              <w:rPr>
                <w:rStyle w:val="normaltextrun"/>
                <w:rFonts w:cs="Poppins"/>
                <w:sz w:val="20"/>
                <w:szCs w:val="20"/>
                <w:shd w:val="clear" w:color="auto" w:fill="FFFFFF"/>
              </w:rPr>
              <w:t xml:space="preserve">Enhancing OU’s reputation across the HE </w:t>
            </w:r>
            <w:proofErr w:type="gramStart"/>
            <w:r w:rsidRPr="00AA6BD0">
              <w:rPr>
                <w:rStyle w:val="normaltextrun"/>
                <w:rFonts w:cs="Poppins"/>
                <w:sz w:val="20"/>
                <w:szCs w:val="20"/>
                <w:shd w:val="clear" w:color="auto" w:fill="FFFFFF"/>
              </w:rPr>
              <w:t>sector</w:t>
            </w:r>
            <w:proofErr w:type="gramEnd"/>
            <w:r w:rsidRPr="00AA6BD0">
              <w:rPr>
                <w:rStyle w:val="normaltextrun"/>
                <w:rFonts w:cs="Poppins"/>
                <w:sz w:val="20"/>
                <w:szCs w:val="20"/>
                <w:shd w:val="clear" w:color="auto" w:fill="FFFFFF"/>
              </w:rPr>
              <w:t xml:space="preserve"> and/or internationally; facilitating OU’s collaboration/ties with other HE/other part</w:t>
            </w:r>
            <w:r w:rsidR="00620216" w:rsidRPr="00AA6BD0">
              <w:rPr>
                <w:rStyle w:val="normaltextrun"/>
                <w:rFonts w:cs="Poppins"/>
                <w:sz w:val="20"/>
                <w:szCs w:val="20"/>
                <w:shd w:val="clear" w:color="auto" w:fill="FFFFFF"/>
              </w:rPr>
              <w:t>ners</w:t>
            </w:r>
            <w:r w:rsidR="00742520" w:rsidRPr="00AA6BD0">
              <w:rPr>
                <w:rStyle w:val="normaltextrun"/>
                <w:rFonts w:cs="Poppins"/>
                <w:sz w:val="20"/>
                <w:szCs w:val="20"/>
                <w:shd w:val="clear" w:color="auto" w:fill="FFFFFF"/>
              </w:rPr>
              <w:t xml:space="preserve">; invitation to join </w:t>
            </w:r>
            <w:r w:rsidR="00DB44A6" w:rsidRPr="00AA6BD0">
              <w:rPr>
                <w:rStyle w:val="normaltextrun"/>
                <w:rFonts w:cs="Poppins"/>
                <w:sz w:val="20"/>
                <w:szCs w:val="20"/>
                <w:shd w:val="clear" w:color="auto" w:fill="FFFFFF"/>
              </w:rPr>
              <w:t>external</w:t>
            </w:r>
            <w:r w:rsidR="00742520" w:rsidRPr="00AA6BD0">
              <w:rPr>
                <w:rStyle w:val="normaltextrun"/>
                <w:rFonts w:cs="Poppins"/>
                <w:sz w:val="20"/>
                <w:szCs w:val="20"/>
                <w:shd w:val="clear" w:color="auto" w:fill="FFFFFF"/>
              </w:rPr>
              <w:t xml:space="preserve"> steering groups</w:t>
            </w:r>
            <w:r w:rsidR="00DB44A6" w:rsidRPr="00AA6BD0">
              <w:rPr>
                <w:rStyle w:val="normaltextrun"/>
                <w:rFonts w:cs="Poppins"/>
                <w:sz w:val="20"/>
                <w:szCs w:val="20"/>
                <w:shd w:val="clear" w:color="auto" w:fill="FFFFFF"/>
              </w:rPr>
              <w:t>; giving keynote speech</w:t>
            </w:r>
          </w:p>
        </w:tc>
        <w:tc>
          <w:tcPr>
            <w:tcW w:w="5230" w:type="dxa"/>
          </w:tcPr>
          <w:p w14:paraId="4464716E" w14:textId="77777777" w:rsidR="00EE1981" w:rsidRDefault="00EE1981"/>
        </w:tc>
        <w:tc>
          <w:tcPr>
            <w:tcW w:w="5230" w:type="dxa"/>
          </w:tcPr>
          <w:p w14:paraId="5C6062A6" w14:textId="77777777" w:rsidR="00EE1981" w:rsidRDefault="00EE1981"/>
        </w:tc>
        <w:tc>
          <w:tcPr>
            <w:tcW w:w="5231" w:type="dxa"/>
          </w:tcPr>
          <w:p w14:paraId="78B56466" w14:textId="77777777" w:rsidR="00EE1981" w:rsidRDefault="00EE1981"/>
        </w:tc>
      </w:tr>
    </w:tbl>
    <w:p w14:paraId="760EF8EA" w14:textId="77777777" w:rsidR="002D0554" w:rsidRDefault="002D0554"/>
    <w:p w14:paraId="4D3E6D5F" w14:textId="5FEF2159" w:rsidR="002F7C1D" w:rsidRPr="00236F2F" w:rsidRDefault="00CC0E3B" w:rsidP="002F7C1D">
      <w:pPr>
        <w:spacing w:before="100" w:after="140" w:line="260" w:lineRule="atLeast"/>
        <w:rPr>
          <w:b/>
          <w:bCs/>
        </w:rPr>
      </w:pPr>
      <w:r>
        <w:rPr>
          <w:b/>
          <w:bCs/>
        </w:rPr>
        <w:t>Resources</w:t>
      </w:r>
      <w:r w:rsidR="002F7C1D" w:rsidRPr="00236F2F">
        <w:rPr>
          <w:b/>
          <w:bCs/>
        </w:rPr>
        <w:t xml:space="preserve"> for planning for and evaluating</w:t>
      </w:r>
      <w:r w:rsidR="00D54C22">
        <w:rPr>
          <w:b/>
          <w:bCs/>
        </w:rPr>
        <w:t xml:space="preserve"> the </w:t>
      </w:r>
      <w:r w:rsidR="002F7C1D" w:rsidRPr="00236F2F">
        <w:rPr>
          <w:b/>
          <w:bCs/>
        </w:rPr>
        <w:t>impact</w:t>
      </w:r>
      <w:r w:rsidR="002F7C1D">
        <w:rPr>
          <w:b/>
          <w:bCs/>
        </w:rPr>
        <w:t xml:space="preserve"> of </w:t>
      </w:r>
      <w:proofErr w:type="spellStart"/>
      <w:proofErr w:type="gramStart"/>
      <w:r w:rsidR="002F7C1D">
        <w:rPr>
          <w:b/>
          <w:bCs/>
        </w:rPr>
        <w:t>SoTL</w:t>
      </w:r>
      <w:proofErr w:type="spellEnd"/>
      <w:proofErr w:type="gramEnd"/>
    </w:p>
    <w:p w14:paraId="3B3B6ED5" w14:textId="792C0D8A" w:rsidR="00D70EF9" w:rsidRDefault="00D70EF9" w:rsidP="00D70EF9">
      <w:pPr>
        <w:spacing w:before="100" w:after="140" w:line="260" w:lineRule="atLeast"/>
      </w:pPr>
      <w:r>
        <w:t>To learn more about</w:t>
      </w:r>
      <w:r w:rsidR="001B10B0">
        <w:t xml:space="preserve"> the </w:t>
      </w:r>
      <w:r>
        <w:t xml:space="preserve">impact of </w:t>
      </w:r>
      <w:proofErr w:type="spellStart"/>
      <w:r>
        <w:t>SoTL</w:t>
      </w:r>
      <w:proofErr w:type="spellEnd"/>
      <w:r>
        <w:t xml:space="preserve"> and resources from </w:t>
      </w:r>
      <w:proofErr w:type="spellStart"/>
      <w:r>
        <w:t>eSTEeM’s</w:t>
      </w:r>
      <w:proofErr w:type="spellEnd"/>
      <w:r>
        <w:t xml:space="preserve"> Impact Evaluation (IE) Initiative in 2022-2023, please visit the </w:t>
      </w:r>
      <w:hyperlink r:id="rId13" w:history="1">
        <w:r w:rsidRPr="001B10B0">
          <w:rPr>
            <w:rStyle w:val="Hyperlink"/>
          </w:rPr>
          <w:t xml:space="preserve">'Impact of </w:t>
        </w:r>
        <w:proofErr w:type="spellStart"/>
        <w:r w:rsidRPr="001B10B0">
          <w:rPr>
            <w:rStyle w:val="Hyperlink"/>
          </w:rPr>
          <w:t>SoTL</w:t>
        </w:r>
        <w:proofErr w:type="spellEnd"/>
        <w:r w:rsidR="001B10B0" w:rsidRPr="001B10B0">
          <w:rPr>
            <w:rStyle w:val="Hyperlink"/>
          </w:rPr>
          <w:t>’</w:t>
        </w:r>
      </w:hyperlink>
      <w:r w:rsidR="001B10B0">
        <w:t xml:space="preserve"> on the </w:t>
      </w:r>
      <w:proofErr w:type="spellStart"/>
      <w:r w:rsidR="001B10B0">
        <w:t>eSTEeM</w:t>
      </w:r>
      <w:proofErr w:type="spellEnd"/>
      <w:r w:rsidR="001B10B0">
        <w:t xml:space="preserve"> website.</w:t>
      </w:r>
      <w:r>
        <w:t xml:space="preserve"> For an overview of </w:t>
      </w:r>
      <w:proofErr w:type="spellStart"/>
      <w:r>
        <w:t>eSTEeM’s</w:t>
      </w:r>
      <w:proofErr w:type="spellEnd"/>
      <w:r>
        <w:t xml:space="preserve"> IE initiative, please refer to the Executive summary</w:t>
      </w:r>
      <w:r w:rsidR="00795C57">
        <w:rPr>
          <w:rStyle w:val="FootnoteReference"/>
        </w:rPr>
        <w:footnoteReference w:id="3"/>
      </w:r>
      <w:r>
        <w:t>.</w:t>
      </w:r>
    </w:p>
    <w:p w14:paraId="6EF6B9FD" w14:textId="6BA3D40B" w:rsidR="002F7C1D" w:rsidRDefault="006C045A" w:rsidP="002F7C1D">
      <w:pPr>
        <w:spacing w:before="100" w:after="140" w:line="260" w:lineRule="atLeast"/>
      </w:pPr>
      <w:r>
        <w:t xml:space="preserve">Here are several </w:t>
      </w:r>
      <w:r>
        <w:rPr>
          <w:b/>
          <w:bCs/>
        </w:rPr>
        <w:t>resources you may use</w:t>
      </w:r>
      <w:r>
        <w:t xml:space="preserve"> </w:t>
      </w:r>
      <w:r w:rsidR="002F7C1D">
        <w:t>for evaluating impact, and for recording the impact and its evidence,</w:t>
      </w:r>
      <w:r w:rsidR="00F1010B">
        <w:t xml:space="preserve"> which can then be added to the IETT</w:t>
      </w:r>
      <w:r w:rsidR="002F7C1D">
        <w:t>:</w:t>
      </w:r>
    </w:p>
    <w:p w14:paraId="0A4A0F02" w14:textId="67E2FC2C" w:rsidR="002F7C1D" w:rsidRPr="0068695D" w:rsidRDefault="002F7C1D" w:rsidP="002F7C1D">
      <w:pPr>
        <w:pStyle w:val="ListParagraph"/>
        <w:numPr>
          <w:ilvl w:val="0"/>
          <w:numId w:val="5"/>
        </w:numPr>
      </w:pPr>
      <w:r w:rsidRPr="0068695D">
        <w:t>In the ‘</w:t>
      </w:r>
      <w:proofErr w:type="spellStart"/>
      <w:r w:rsidRPr="0068695D">
        <w:t>SoTL</w:t>
      </w:r>
      <w:proofErr w:type="spellEnd"/>
      <w:r w:rsidRPr="0068695D">
        <w:t xml:space="preserve"> Impact Evaluation </w:t>
      </w:r>
      <w:r w:rsidRPr="0068695D">
        <w:rPr>
          <w:b/>
          <w:bCs/>
        </w:rPr>
        <w:t>Workbook</w:t>
      </w:r>
      <w:r w:rsidRPr="0068695D">
        <w:t>’</w:t>
      </w:r>
      <w:r w:rsidR="00795C57">
        <w:rPr>
          <w:rStyle w:val="FootnoteReference"/>
        </w:rPr>
        <w:footnoteReference w:id="4"/>
      </w:r>
      <w:r w:rsidR="001C6AB5">
        <w:t>.</w:t>
      </w:r>
    </w:p>
    <w:p w14:paraId="562E6903" w14:textId="77777777" w:rsidR="002F7C1D" w:rsidRPr="0068695D" w:rsidRDefault="002F7C1D" w:rsidP="002F7C1D">
      <w:pPr>
        <w:pStyle w:val="ListParagraph"/>
        <w:numPr>
          <w:ilvl w:val="0"/>
          <w:numId w:val="3"/>
        </w:numPr>
      </w:pPr>
      <w:r w:rsidRPr="0068695D">
        <w:t xml:space="preserve">At the start of the project: In </w:t>
      </w:r>
      <w:r w:rsidRPr="0068695D">
        <w:rPr>
          <w:rStyle w:val="Figure-Appendix-Table-References-BoldChar"/>
          <w:color w:val="auto"/>
        </w:rPr>
        <w:t>Section 2</w:t>
      </w:r>
      <w:r w:rsidRPr="0068695D">
        <w:t xml:space="preserve">, the IEF is provided on a page for ease of use to discuss the overview of the impact in a workshop or in groupwork related to impact of </w:t>
      </w:r>
      <w:proofErr w:type="spellStart"/>
      <w:r w:rsidRPr="0068695D">
        <w:t>SoTL</w:t>
      </w:r>
      <w:proofErr w:type="spellEnd"/>
      <w:r w:rsidRPr="0068695D">
        <w:t xml:space="preserve"> and relevant to your project so that you can plan how the impact and its evidence will be collected.</w:t>
      </w:r>
    </w:p>
    <w:p w14:paraId="4D7F7526" w14:textId="77777777" w:rsidR="002F7C1D" w:rsidRPr="0068695D" w:rsidRDefault="002F7C1D" w:rsidP="002F7C1D">
      <w:pPr>
        <w:pStyle w:val="ListParagraph"/>
        <w:numPr>
          <w:ilvl w:val="0"/>
          <w:numId w:val="3"/>
        </w:numPr>
      </w:pPr>
      <w:r w:rsidRPr="0068695D">
        <w:t xml:space="preserve">Additionally, In </w:t>
      </w:r>
      <w:r w:rsidRPr="0068695D">
        <w:rPr>
          <w:rStyle w:val="Figure-Appendix-Table-References-BoldChar"/>
          <w:color w:val="auto"/>
        </w:rPr>
        <w:t>Section 4</w:t>
      </w:r>
      <w:r w:rsidRPr="0068695D">
        <w:t xml:space="preserve">, the 12 facets of impact and their attributes are grouped in four categories. This format of IEF can be used for thinking about the possible impact (individually or as a team) when planning a </w:t>
      </w:r>
      <w:proofErr w:type="spellStart"/>
      <w:r w:rsidRPr="0068695D">
        <w:t>SoTL</w:t>
      </w:r>
      <w:proofErr w:type="spellEnd"/>
      <w:r w:rsidRPr="0068695D">
        <w:t xml:space="preserve"> project. This format of IEF laid out in four categories can also be used in professional development activities related to </w:t>
      </w:r>
      <w:proofErr w:type="spellStart"/>
      <w:r w:rsidRPr="0068695D">
        <w:t>SoTL</w:t>
      </w:r>
      <w:proofErr w:type="spellEnd"/>
      <w:r w:rsidRPr="0068695D">
        <w:t xml:space="preserve"> and its impact. </w:t>
      </w:r>
    </w:p>
    <w:p w14:paraId="2DBE2393" w14:textId="77777777" w:rsidR="002F7C1D" w:rsidRPr="0068695D" w:rsidRDefault="002F7C1D" w:rsidP="002F7C1D">
      <w:pPr>
        <w:pStyle w:val="ListParagraph"/>
        <w:numPr>
          <w:ilvl w:val="0"/>
          <w:numId w:val="3"/>
        </w:numPr>
      </w:pPr>
      <w:r w:rsidRPr="0068695D">
        <w:t xml:space="preserve">In </w:t>
      </w:r>
      <w:r w:rsidRPr="0068695D">
        <w:rPr>
          <w:rStyle w:val="Figure-Appendix-Table-References-BoldChar"/>
          <w:color w:val="auto"/>
        </w:rPr>
        <w:t>Section 5</w:t>
      </w:r>
      <w:r w:rsidRPr="0068695D">
        <w:t xml:space="preserve">, a comprehensive template of IEF is provided, which can be used as a workbook to guide planning, reflecting on, monitoring, and evaluating the impact of </w:t>
      </w:r>
      <w:proofErr w:type="spellStart"/>
      <w:r w:rsidRPr="0068695D">
        <w:t>SoTL</w:t>
      </w:r>
      <w:proofErr w:type="spellEnd"/>
      <w:r w:rsidRPr="0068695D">
        <w:t xml:space="preserve"> and for recording evidence related to the impact. </w:t>
      </w:r>
    </w:p>
    <w:p w14:paraId="72678009" w14:textId="77777777" w:rsidR="002F7C1D" w:rsidRPr="0068695D" w:rsidRDefault="002F7C1D" w:rsidP="002F7C1D">
      <w:pPr>
        <w:pStyle w:val="ListParagraph"/>
        <w:numPr>
          <w:ilvl w:val="0"/>
          <w:numId w:val="3"/>
        </w:numPr>
      </w:pPr>
      <w:r w:rsidRPr="0068695D">
        <w:t xml:space="preserve">If you have already completed a </w:t>
      </w:r>
      <w:proofErr w:type="spellStart"/>
      <w:r w:rsidRPr="0068695D">
        <w:t>SoTL</w:t>
      </w:r>
      <w:proofErr w:type="spellEnd"/>
      <w:r w:rsidRPr="0068695D">
        <w:t xml:space="preserve"> project and would like to carry out self-evaluation of impact retrospectively, the IEF is presented as a question-based template in </w:t>
      </w:r>
      <w:r w:rsidRPr="0068695D">
        <w:rPr>
          <w:rStyle w:val="Figure-Appendix-Table-References-BoldChar"/>
          <w:color w:val="auto"/>
        </w:rPr>
        <w:t xml:space="preserve">Section 3 </w:t>
      </w:r>
      <w:r w:rsidRPr="0068695D">
        <w:rPr>
          <w:rStyle w:val="Figure-Appendix-Table-References-BoldChar"/>
          <w:b w:val="0"/>
          <w:color w:val="auto"/>
        </w:rPr>
        <w:t>to guide self-evaluation and reflection</w:t>
      </w:r>
      <w:r w:rsidRPr="0068695D">
        <w:t xml:space="preserve">. </w:t>
      </w:r>
    </w:p>
    <w:p w14:paraId="07A7DDF9" w14:textId="77777777" w:rsidR="002F7C1D" w:rsidRDefault="002F7C1D" w:rsidP="002F7C1D">
      <w:pPr>
        <w:pStyle w:val="ListParagraph"/>
        <w:ind w:left="360"/>
      </w:pPr>
    </w:p>
    <w:p w14:paraId="4DFB40F2" w14:textId="5AFC2F4E" w:rsidR="002F7C1D" w:rsidRDefault="002F7C1D" w:rsidP="002F7C1D">
      <w:pPr>
        <w:pStyle w:val="ListParagraph"/>
        <w:numPr>
          <w:ilvl w:val="0"/>
          <w:numId w:val="5"/>
        </w:numPr>
      </w:pPr>
      <w:r>
        <w:t xml:space="preserve">The 16 case studies in the </w:t>
      </w:r>
      <w:r w:rsidRPr="00236F2F">
        <w:rPr>
          <w:b/>
          <w:bCs/>
        </w:rPr>
        <w:t>Compendium</w:t>
      </w:r>
      <w:r w:rsidR="00795C57">
        <w:rPr>
          <w:rStyle w:val="FootnoteReference"/>
          <w:b w:val="0"/>
          <w:bCs/>
        </w:rPr>
        <w:footnoteReference w:id="5"/>
      </w:r>
      <w:r>
        <w:t xml:space="preserve"> (one of the outputs of </w:t>
      </w:r>
      <w:proofErr w:type="spellStart"/>
      <w:r>
        <w:t>eSTEeM’s</w:t>
      </w:r>
      <w:proofErr w:type="spellEnd"/>
      <w:r>
        <w:t xml:space="preserve"> IE initiative) provide exemplars of evaluating and reporting impact of </w:t>
      </w:r>
      <w:proofErr w:type="spellStart"/>
      <w:r>
        <w:t>SoTL</w:t>
      </w:r>
      <w:proofErr w:type="spellEnd"/>
      <w:r>
        <w:t xml:space="preserve"> and its evidence. Via the</w:t>
      </w:r>
      <w:r w:rsidRPr="00FE166D">
        <w:t xml:space="preserve"> keywords </w:t>
      </w:r>
      <w:r>
        <w:t xml:space="preserve">against each of the case studies, you can </w:t>
      </w:r>
      <w:r w:rsidRPr="00FE166D">
        <w:t xml:space="preserve">select </w:t>
      </w:r>
      <w:r>
        <w:t xml:space="preserve">one or more </w:t>
      </w:r>
      <w:r w:rsidRPr="00FE166D">
        <w:t xml:space="preserve">case studies relevant for </w:t>
      </w:r>
      <w:r>
        <w:t xml:space="preserve">your </w:t>
      </w:r>
      <w:proofErr w:type="spellStart"/>
      <w:r>
        <w:t>SoTL</w:t>
      </w:r>
      <w:proofErr w:type="spellEnd"/>
      <w:r>
        <w:t xml:space="preserve"> activity </w:t>
      </w:r>
      <w:r w:rsidRPr="00FE166D">
        <w:t xml:space="preserve">for a deeper exploration. </w:t>
      </w:r>
      <w:r>
        <w:t xml:space="preserve"> </w:t>
      </w:r>
    </w:p>
    <w:p w14:paraId="243CF939" w14:textId="77777777" w:rsidR="002F7C1D" w:rsidRDefault="002F7C1D"/>
    <w:p w14:paraId="46C6B159" w14:textId="77777777" w:rsidR="00041570" w:rsidRDefault="00041570"/>
    <w:p w14:paraId="5F827D61" w14:textId="77777777" w:rsidR="00041570" w:rsidRDefault="00041570"/>
    <w:p w14:paraId="10B05FD5" w14:textId="77777777" w:rsidR="00883F09" w:rsidRDefault="00883F09"/>
    <w:p w14:paraId="143D6D8F" w14:textId="77777777" w:rsidR="00883F09" w:rsidRDefault="00883F09"/>
    <w:p w14:paraId="23660182" w14:textId="77777777" w:rsidR="00883F09" w:rsidRDefault="00883F09"/>
    <w:p w14:paraId="4BDC23DD" w14:textId="77777777" w:rsidR="00883F09" w:rsidRDefault="00883F09"/>
    <w:sectPr w:rsidR="00883F09" w:rsidSect="00672961">
      <w:footerReference w:type="default" r:id="rId14"/>
      <w:headerReference w:type="first" r:id="rId15"/>
      <w:pgSz w:w="23811" w:h="16838" w:orient="landscape" w:code="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F951" w14:textId="77777777" w:rsidR="00853BC5" w:rsidRDefault="00853BC5" w:rsidP="008E78C1">
      <w:pPr>
        <w:spacing w:after="0" w:line="240" w:lineRule="auto"/>
      </w:pPr>
      <w:r>
        <w:separator/>
      </w:r>
    </w:p>
  </w:endnote>
  <w:endnote w:type="continuationSeparator" w:id="0">
    <w:p w14:paraId="562ECCD2" w14:textId="77777777" w:rsidR="00853BC5" w:rsidRDefault="00853BC5" w:rsidP="008E78C1">
      <w:pPr>
        <w:spacing w:after="0" w:line="240" w:lineRule="auto"/>
      </w:pPr>
      <w:r>
        <w:continuationSeparator/>
      </w:r>
    </w:p>
  </w:endnote>
  <w:endnote w:type="continuationNotice" w:id="1">
    <w:p w14:paraId="786A0866" w14:textId="77777777" w:rsidR="00853BC5" w:rsidRDefault="00853B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A8FD" w14:textId="77777777" w:rsidR="00E4648A" w:rsidRPr="009A4AA9" w:rsidRDefault="00E4648A" w:rsidP="00B90E23">
    <w:pPr>
      <w:pStyle w:val="FootnoteText"/>
      <w:rPr>
        <w:b/>
        <w:bCs/>
      </w:rPr>
    </w:pPr>
  </w:p>
  <w:p w14:paraId="650E5491" w14:textId="77777777" w:rsidR="008D0481" w:rsidRDefault="008D0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1DD7" w14:textId="77777777" w:rsidR="00853BC5" w:rsidRDefault="00853BC5" w:rsidP="008E78C1">
      <w:pPr>
        <w:spacing w:after="0" w:line="240" w:lineRule="auto"/>
      </w:pPr>
      <w:r>
        <w:separator/>
      </w:r>
    </w:p>
  </w:footnote>
  <w:footnote w:type="continuationSeparator" w:id="0">
    <w:p w14:paraId="5EDB6C1C" w14:textId="77777777" w:rsidR="00853BC5" w:rsidRDefault="00853BC5" w:rsidP="008E78C1">
      <w:pPr>
        <w:spacing w:after="0" w:line="240" w:lineRule="auto"/>
      </w:pPr>
      <w:r>
        <w:continuationSeparator/>
      </w:r>
    </w:p>
  </w:footnote>
  <w:footnote w:type="continuationNotice" w:id="1">
    <w:p w14:paraId="09575B3C" w14:textId="77777777" w:rsidR="00853BC5" w:rsidRDefault="00853BC5">
      <w:pPr>
        <w:spacing w:after="0" w:line="240" w:lineRule="auto"/>
      </w:pPr>
    </w:p>
  </w:footnote>
  <w:footnote w:id="2">
    <w:p w14:paraId="5C3F126B" w14:textId="04828399" w:rsidR="001C6AB5" w:rsidRDefault="001C6A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68695D">
        <w:rPr>
          <w:color w:val="auto"/>
        </w:rPr>
        <w:t>Minocha</w:t>
      </w:r>
      <w:proofErr w:type="spellEnd"/>
      <w:r w:rsidRPr="0068695D">
        <w:rPr>
          <w:color w:val="auto"/>
        </w:rPr>
        <w:t>, S. (2021) Impact Evaluation Framework for Scholarship of Teaching and Learning. Available at:</w:t>
      </w:r>
      <w:hyperlink r:id="rId1" w:history="1">
        <w:r w:rsidR="00795C57" w:rsidRPr="00B065DF">
          <w:rPr>
            <w:rStyle w:val="Hyperlink"/>
          </w:rPr>
          <w:t xml:space="preserve"> https://www.shaileyminocha.info/blog/2021/6/7/impact-evaluation-framework-for-scholarship-of-teaching-and-learning </w:t>
        </w:r>
      </w:hyperlink>
      <w:r w:rsidRPr="0068695D">
        <w:rPr>
          <w:color w:val="auto"/>
        </w:rPr>
        <w:t xml:space="preserve">and ‘Evaluating for Impact’, in ‘Scholarship of Teaching and Learning in STEM’ Badged Open Course (BOC), The Open University, UK, </w:t>
      </w:r>
      <w:hyperlink r:id="rId2" w:history="1">
        <w:r w:rsidRPr="00795C57">
          <w:rPr>
            <w:rStyle w:val="Hyperlink"/>
          </w:rPr>
          <w:t>https</w:t>
        </w:r>
        <w:r w:rsidRPr="00A52FB0">
          <w:rPr>
            <w:rStyle w:val="Hyperlink"/>
          </w:rPr>
          <w:t>://www.open.edu/openlearn/mod/oucontent/view.php?id=109326&amp;section=2.3</w:t>
        </w:r>
      </w:hyperlink>
      <w:r>
        <w:t xml:space="preserve"> </w:t>
      </w:r>
      <w:r w:rsidRPr="0068695D">
        <w:rPr>
          <w:color w:val="auto"/>
        </w:rPr>
        <w:t xml:space="preserve">or </w:t>
      </w:r>
      <w:hyperlink r:id="rId3" w:history="1">
        <w:r w:rsidRPr="000F35EC">
          <w:rPr>
            <w:rStyle w:val="Hyperlink"/>
          </w:rPr>
          <w:t>https://tinyurl.com/2pphauar</w:t>
        </w:r>
      </w:hyperlink>
    </w:p>
  </w:footnote>
  <w:footnote w:id="3">
    <w:p w14:paraId="2A105248" w14:textId="74CBDAB6" w:rsidR="00795C57" w:rsidRDefault="00795C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8695D">
        <w:rPr>
          <w:color w:val="auto"/>
        </w:rPr>
        <w:t>Impact of Scholarship of Teaching and Learning: An Executive Summary</w:t>
      </w:r>
      <w:r>
        <w:rPr>
          <w:color w:val="auto"/>
        </w:rPr>
        <w:t xml:space="preserve">: </w:t>
      </w:r>
      <w:hyperlink r:id="rId4" w:history="1">
        <w:r w:rsidRPr="008F6010">
          <w:rPr>
            <w:rStyle w:val="Hyperlink"/>
          </w:rPr>
          <w:t>https://oro.open.ac.uk/87487/</w:t>
        </w:r>
      </w:hyperlink>
    </w:p>
  </w:footnote>
  <w:footnote w:id="4">
    <w:p w14:paraId="09F10924" w14:textId="591B5756" w:rsidR="00795C57" w:rsidRDefault="00795C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8695D">
        <w:rPr>
          <w:color w:val="auto"/>
        </w:rPr>
        <w:t>The ‘</w:t>
      </w:r>
      <w:proofErr w:type="spellStart"/>
      <w:r w:rsidRPr="0068695D">
        <w:rPr>
          <w:color w:val="auto"/>
        </w:rPr>
        <w:t>SoTL</w:t>
      </w:r>
      <w:proofErr w:type="spellEnd"/>
      <w:r w:rsidRPr="0068695D">
        <w:rPr>
          <w:color w:val="auto"/>
        </w:rPr>
        <w:t xml:space="preserve"> impact evaluation workbook’ is designed around the ‘Impact Evaluation Framework’ to conduct impact evaluation of </w:t>
      </w:r>
      <w:proofErr w:type="spellStart"/>
      <w:r w:rsidRPr="0068695D">
        <w:rPr>
          <w:color w:val="auto"/>
        </w:rPr>
        <w:t>SoTL</w:t>
      </w:r>
      <w:proofErr w:type="spellEnd"/>
      <w:r w:rsidRPr="0068695D">
        <w:rPr>
          <w:color w:val="auto"/>
        </w:rPr>
        <w:t xml:space="preserve"> projects. It is available as a downloadable supplementary Word file from this ORO entry: </w:t>
      </w:r>
      <w:hyperlink r:id="rId5" w:history="1">
        <w:r w:rsidRPr="00F954A4">
          <w:rPr>
            <w:rStyle w:val="Hyperlink"/>
          </w:rPr>
          <w:t>https://oro.open.ac.uk/87489/</w:t>
        </w:r>
      </w:hyperlink>
    </w:p>
  </w:footnote>
  <w:footnote w:id="5">
    <w:p w14:paraId="17AFB2C2" w14:textId="2424E17C" w:rsidR="00795C57" w:rsidRDefault="00795C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8695D">
        <w:rPr>
          <w:bCs/>
          <w:color w:val="auto"/>
        </w:rPr>
        <w:t>Impact of Scholarship of Teaching and Learning: A compendium of case studies</w:t>
      </w:r>
      <w:r>
        <w:rPr>
          <w:bCs/>
          <w:color w:val="auto"/>
        </w:rPr>
        <w:t xml:space="preserve">: </w:t>
      </w:r>
      <w:hyperlink r:id="rId6" w:history="1">
        <w:r w:rsidRPr="008F6010">
          <w:rPr>
            <w:rStyle w:val="Hyperlink"/>
            <w:bCs/>
          </w:rPr>
          <w:t>https://oro.open.ac.uk/87488/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6113" w14:textId="4C53F384" w:rsidR="008E78C1" w:rsidRDefault="008E78C1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BB1ED4A" wp14:editId="00534BB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48518" cy="512108"/>
          <wp:effectExtent l="0" t="0" r="0" b="2540"/>
          <wp:wrapTight wrapText="bothSides">
            <wp:wrapPolygon edited="0">
              <wp:start x="0" y="0"/>
              <wp:lineTo x="0" y="17687"/>
              <wp:lineTo x="1063" y="20903"/>
              <wp:lineTo x="20998" y="20903"/>
              <wp:lineTo x="21263" y="16079"/>
              <wp:lineTo x="21263" y="0"/>
              <wp:lineTo x="6379" y="0"/>
              <wp:lineTo x="0" y="0"/>
            </wp:wrapPolygon>
          </wp:wrapTight>
          <wp:docPr id="4" name="Picture 4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518" cy="512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9E644B3" wp14:editId="591A81D0">
          <wp:simplePos x="0" y="0"/>
          <wp:positionH relativeFrom="margin">
            <wp:align>right</wp:align>
          </wp:positionH>
          <wp:positionV relativeFrom="paragraph">
            <wp:posOffset>121920</wp:posOffset>
          </wp:positionV>
          <wp:extent cx="2334260" cy="335280"/>
          <wp:effectExtent l="0" t="0" r="8890" b="7620"/>
          <wp:wrapTight wrapText="bothSides">
            <wp:wrapPolygon edited="0">
              <wp:start x="0" y="0"/>
              <wp:lineTo x="0" y="20864"/>
              <wp:lineTo x="17275" y="20864"/>
              <wp:lineTo x="21506" y="20864"/>
              <wp:lineTo x="21506" y="2455"/>
              <wp:lineTo x="3349" y="0"/>
              <wp:lineTo x="0" y="0"/>
            </wp:wrapPolygon>
          </wp:wrapTight>
          <wp:docPr id="3" name="Picture 3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blu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260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C78"/>
    <w:multiLevelType w:val="hybridMultilevel"/>
    <w:tmpl w:val="08224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507E7"/>
    <w:multiLevelType w:val="hybridMultilevel"/>
    <w:tmpl w:val="707E12E8"/>
    <w:lvl w:ilvl="0" w:tplc="9828C96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A0EF9"/>
    <w:multiLevelType w:val="hybridMultilevel"/>
    <w:tmpl w:val="386AB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7D6D3A"/>
    <w:multiLevelType w:val="hybridMultilevel"/>
    <w:tmpl w:val="82043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846A0"/>
    <w:multiLevelType w:val="hybridMultilevel"/>
    <w:tmpl w:val="58C85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1938197">
    <w:abstractNumId w:val="3"/>
  </w:num>
  <w:num w:numId="2" w16cid:durableId="1214851807">
    <w:abstractNumId w:val="4"/>
  </w:num>
  <w:num w:numId="3" w16cid:durableId="1288731322">
    <w:abstractNumId w:val="2"/>
  </w:num>
  <w:num w:numId="4" w16cid:durableId="2067558076">
    <w:abstractNumId w:val="0"/>
  </w:num>
  <w:num w:numId="5" w16cid:durableId="1389454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0E"/>
    <w:rsid w:val="00010BF3"/>
    <w:rsid w:val="00012FF9"/>
    <w:rsid w:val="00041570"/>
    <w:rsid w:val="00077BAB"/>
    <w:rsid w:val="000C15BF"/>
    <w:rsid w:val="000F35EC"/>
    <w:rsid w:val="001170E0"/>
    <w:rsid w:val="00133C04"/>
    <w:rsid w:val="001342EA"/>
    <w:rsid w:val="00152D2E"/>
    <w:rsid w:val="0015786A"/>
    <w:rsid w:val="00165F0E"/>
    <w:rsid w:val="001762F2"/>
    <w:rsid w:val="00182B97"/>
    <w:rsid w:val="00197CEE"/>
    <w:rsid w:val="001B10B0"/>
    <w:rsid w:val="001C6AB5"/>
    <w:rsid w:val="00250FD4"/>
    <w:rsid w:val="0028065F"/>
    <w:rsid w:val="00295B14"/>
    <w:rsid w:val="002A39E3"/>
    <w:rsid w:val="002A559B"/>
    <w:rsid w:val="002C3CB8"/>
    <w:rsid w:val="002C7413"/>
    <w:rsid w:val="002D0554"/>
    <w:rsid w:val="002E0FD2"/>
    <w:rsid w:val="002E35B0"/>
    <w:rsid w:val="002F2E45"/>
    <w:rsid w:val="002F7C1D"/>
    <w:rsid w:val="0033704C"/>
    <w:rsid w:val="003C7E2C"/>
    <w:rsid w:val="003D4D06"/>
    <w:rsid w:val="00416AD6"/>
    <w:rsid w:val="00422388"/>
    <w:rsid w:val="0043466D"/>
    <w:rsid w:val="00466475"/>
    <w:rsid w:val="004742F7"/>
    <w:rsid w:val="004C2AD7"/>
    <w:rsid w:val="004E4241"/>
    <w:rsid w:val="004F194A"/>
    <w:rsid w:val="004F4131"/>
    <w:rsid w:val="00543536"/>
    <w:rsid w:val="00561052"/>
    <w:rsid w:val="00587A10"/>
    <w:rsid w:val="005A750D"/>
    <w:rsid w:val="00620216"/>
    <w:rsid w:val="00621E11"/>
    <w:rsid w:val="00651B2E"/>
    <w:rsid w:val="006627CF"/>
    <w:rsid w:val="006640C3"/>
    <w:rsid w:val="00672961"/>
    <w:rsid w:val="00685EFB"/>
    <w:rsid w:val="0068695D"/>
    <w:rsid w:val="006C045A"/>
    <w:rsid w:val="006D0AFB"/>
    <w:rsid w:val="006D476D"/>
    <w:rsid w:val="006D4E4C"/>
    <w:rsid w:val="007008BC"/>
    <w:rsid w:val="00714284"/>
    <w:rsid w:val="00742520"/>
    <w:rsid w:val="007777E9"/>
    <w:rsid w:val="00795C57"/>
    <w:rsid w:val="007E14EC"/>
    <w:rsid w:val="007F1F2C"/>
    <w:rsid w:val="007F2A11"/>
    <w:rsid w:val="00830650"/>
    <w:rsid w:val="00836814"/>
    <w:rsid w:val="008445AD"/>
    <w:rsid w:val="00853BC5"/>
    <w:rsid w:val="00853F50"/>
    <w:rsid w:val="00862869"/>
    <w:rsid w:val="00883F09"/>
    <w:rsid w:val="0089697D"/>
    <w:rsid w:val="008A2275"/>
    <w:rsid w:val="008B21AC"/>
    <w:rsid w:val="008C6F9D"/>
    <w:rsid w:val="008D0481"/>
    <w:rsid w:val="008E5CFF"/>
    <w:rsid w:val="008E78C1"/>
    <w:rsid w:val="008F6010"/>
    <w:rsid w:val="00900B80"/>
    <w:rsid w:val="0092622A"/>
    <w:rsid w:val="009271C6"/>
    <w:rsid w:val="009375F7"/>
    <w:rsid w:val="00961E8C"/>
    <w:rsid w:val="00A20C7B"/>
    <w:rsid w:val="00A32850"/>
    <w:rsid w:val="00A50E2B"/>
    <w:rsid w:val="00A54EB6"/>
    <w:rsid w:val="00A65A4A"/>
    <w:rsid w:val="00A84ABB"/>
    <w:rsid w:val="00A85B0B"/>
    <w:rsid w:val="00AA6BD0"/>
    <w:rsid w:val="00AD5DAC"/>
    <w:rsid w:val="00B64C33"/>
    <w:rsid w:val="00B90E23"/>
    <w:rsid w:val="00BB17A8"/>
    <w:rsid w:val="00BC28F2"/>
    <w:rsid w:val="00BD71BA"/>
    <w:rsid w:val="00C66EE9"/>
    <w:rsid w:val="00C718D8"/>
    <w:rsid w:val="00C71BB5"/>
    <w:rsid w:val="00C75F5A"/>
    <w:rsid w:val="00C76AD2"/>
    <w:rsid w:val="00C903C0"/>
    <w:rsid w:val="00CB0BC1"/>
    <w:rsid w:val="00CC0E3B"/>
    <w:rsid w:val="00CE74F2"/>
    <w:rsid w:val="00D04E2E"/>
    <w:rsid w:val="00D156D2"/>
    <w:rsid w:val="00D2122A"/>
    <w:rsid w:val="00D54C22"/>
    <w:rsid w:val="00D62E6C"/>
    <w:rsid w:val="00D70EF9"/>
    <w:rsid w:val="00D72FAF"/>
    <w:rsid w:val="00D75C48"/>
    <w:rsid w:val="00D87443"/>
    <w:rsid w:val="00DB44A6"/>
    <w:rsid w:val="00E13FA8"/>
    <w:rsid w:val="00E43267"/>
    <w:rsid w:val="00E43E8F"/>
    <w:rsid w:val="00E4648A"/>
    <w:rsid w:val="00E57EB3"/>
    <w:rsid w:val="00EA2A1E"/>
    <w:rsid w:val="00EA3553"/>
    <w:rsid w:val="00EA4E11"/>
    <w:rsid w:val="00EB052C"/>
    <w:rsid w:val="00EC36EA"/>
    <w:rsid w:val="00ED1A84"/>
    <w:rsid w:val="00EE1981"/>
    <w:rsid w:val="00F1010B"/>
    <w:rsid w:val="00F12BD1"/>
    <w:rsid w:val="00F16173"/>
    <w:rsid w:val="00F30FC1"/>
    <w:rsid w:val="00F35AE3"/>
    <w:rsid w:val="00F60D0E"/>
    <w:rsid w:val="00F6744B"/>
    <w:rsid w:val="00F9083D"/>
    <w:rsid w:val="00F954A4"/>
    <w:rsid w:val="00FB3AC1"/>
    <w:rsid w:val="00FC7624"/>
    <w:rsid w:val="00FE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76AF2"/>
  <w15:chartTrackingRefBased/>
  <w15:docId w15:val="{516DD6E1-438E-4DB7-BFA8-51500271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0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4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4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7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8C1"/>
  </w:style>
  <w:style w:type="paragraph" w:styleId="Footer">
    <w:name w:val="footer"/>
    <w:basedOn w:val="Normal"/>
    <w:link w:val="FooterChar"/>
    <w:uiPriority w:val="99"/>
    <w:unhideWhenUsed/>
    <w:rsid w:val="008E7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8C1"/>
  </w:style>
  <w:style w:type="paragraph" w:styleId="Revision">
    <w:name w:val="Revision"/>
    <w:hidden/>
    <w:uiPriority w:val="99"/>
    <w:semiHidden/>
    <w:rsid w:val="005A750D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F9083D"/>
  </w:style>
  <w:style w:type="character" w:styleId="FollowedHyperlink">
    <w:name w:val="FollowedHyperlink"/>
    <w:basedOn w:val="DefaultParagraphFont"/>
    <w:uiPriority w:val="99"/>
    <w:semiHidden/>
    <w:unhideWhenUsed/>
    <w:rsid w:val="004742F7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nhideWhenUsed/>
    <w:qFormat/>
    <w:rsid w:val="00077BAB"/>
    <w:rPr>
      <w:rFonts w:ascii="Poppins" w:hAnsi="Poppins"/>
      <w:b/>
      <w:i w:val="0"/>
      <w:color w:val="002060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077BAB"/>
    <w:pPr>
      <w:snapToGrid w:val="0"/>
      <w:spacing w:after="0" w:line="240" w:lineRule="auto"/>
    </w:pPr>
    <w:rPr>
      <w:color w:val="002060"/>
      <w:kern w:val="0"/>
      <w:sz w:val="16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7BAB"/>
    <w:rPr>
      <w:color w:val="002060"/>
      <w:kern w:val="0"/>
      <w:sz w:val="16"/>
      <w:szCs w:val="20"/>
      <w14:ligatures w14:val="none"/>
    </w:rPr>
  </w:style>
  <w:style w:type="character" w:customStyle="1" w:styleId="apple-converted-space">
    <w:name w:val="apple-converted-space"/>
    <w:basedOn w:val="DefaultParagraphFont"/>
    <w:rsid w:val="00077BAB"/>
  </w:style>
  <w:style w:type="character" w:customStyle="1" w:styleId="oucontent-linkwithtip">
    <w:name w:val="oucontent-linkwithtip"/>
    <w:basedOn w:val="DefaultParagraphFont"/>
    <w:rsid w:val="00077BAB"/>
  </w:style>
  <w:style w:type="character" w:customStyle="1" w:styleId="externallink">
    <w:name w:val="externallink"/>
    <w:basedOn w:val="DefaultParagraphFont"/>
    <w:rsid w:val="00077BAB"/>
  </w:style>
  <w:style w:type="paragraph" w:customStyle="1" w:styleId="Figure-Appendix-Table-References-Bold">
    <w:name w:val="Figure-Appendix-Table-References-Bold"/>
    <w:basedOn w:val="Normal"/>
    <w:link w:val="Figure-Appendix-Table-References-BoldChar"/>
    <w:qFormat/>
    <w:rsid w:val="00FC7624"/>
    <w:pPr>
      <w:spacing w:before="60" w:after="120" w:line="300" w:lineRule="atLeast"/>
    </w:pPr>
    <w:rPr>
      <w:b/>
      <w:color w:val="060645"/>
      <w:kern w:val="0"/>
      <w14:ligatures w14:val="none"/>
    </w:rPr>
  </w:style>
  <w:style w:type="character" w:customStyle="1" w:styleId="Figure-Appendix-Table-References-BoldChar">
    <w:name w:val="Figure-Appendix-Table-References-Bold Char"/>
    <w:basedOn w:val="DefaultParagraphFont"/>
    <w:link w:val="Figure-Appendix-Table-References-Bold"/>
    <w:rsid w:val="00FC7624"/>
    <w:rPr>
      <w:b/>
      <w:color w:val="060645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F6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5.open.ac.uk/scholarship-and-innovation/esteem/impac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ro.open.ac.u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fficeforstudents.org.uk/advice-and-guidance/the-tef/about-the-tef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inyurl.com/2pphauar" TargetMode="External"/><Relationship Id="rId2" Type="http://schemas.openxmlformats.org/officeDocument/2006/relationships/hyperlink" Target="https://www.open.edu/openlearn/mod/oucontent/view.php?id=109326&amp;section=2.3" TargetMode="External"/><Relationship Id="rId1" Type="http://schemas.openxmlformats.org/officeDocument/2006/relationships/hyperlink" Target="%20https://www.shaileyminocha.info/blog/2021/6/7/impact-evaluation-framework-for-scholarship-of-teaching-and-learning%20" TargetMode="External"/><Relationship Id="rId6" Type="http://schemas.openxmlformats.org/officeDocument/2006/relationships/hyperlink" Target="https://oro.open.ac.uk/87488/" TargetMode="External"/><Relationship Id="rId5" Type="http://schemas.openxmlformats.org/officeDocument/2006/relationships/hyperlink" Target="https://oro.open.ac.uk/87489/" TargetMode="External"/><Relationship Id="rId4" Type="http://schemas.openxmlformats.org/officeDocument/2006/relationships/hyperlink" Target="https://oro.open.ac.uk/87487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476828-269d-41e7-8c7f-463a607b843c" xsi:nil="true"/>
    <lcf76f155ced4ddcb4097134ff3c332f xmlns="b09089af-d965-4a35-adc6-c1557f4ef19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A8143CE0C134B8A33BBDF9C822137" ma:contentTypeVersion="18" ma:contentTypeDescription="Create a new document." ma:contentTypeScope="" ma:versionID="4508caa27cf04657119f100ab65000b4">
  <xsd:schema xmlns:xsd="http://www.w3.org/2001/XMLSchema" xmlns:xs="http://www.w3.org/2001/XMLSchema" xmlns:p="http://schemas.microsoft.com/office/2006/metadata/properties" xmlns:ns2="b09089af-d965-4a35-adc6-c1557f4ef19b" xmlns:ns3="7197fb12-7609-4665-ab28-2c56dc6efc6c" xmlns:ns4="e4476828-269d-41e7-8c7f-463a607b843c" targetNamespace="http://schemas.microsoft.com/office/2006/metadata/properties" ma:root="true" ma:fieldsID="0781e0e2b420a85e080fbf5b3bac195f" ns2:_="" ns3:_="" ns4:_="">
    <xsd:import namespace="b09089af-d965-4a35-adc6-c1557f4ef19b"/>
    <xsd:import namespace="7197fb12-7609-4665-ab28-2c56dc6efc6c"/>
    <xsd:import namespace="e4476828-269d-41e7-8c7f-463a607b8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089af-d965-4a35-adc6-c1557f4e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b35f09-1364-44fa-bda6-079b81d03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fb12-7609-4665-ab28-2c56dc6ef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76828-269d-41e7-8c7f-463a607b843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a62de6b-3c3a-46eb-aa73-b954e9c17589}" ma:internalName="TaxCatchAll" ma:showField="CatchAllData" ma:web="7197fb12-7609-4665-ab28-2c56dc6ef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C15D12-F6B9-4860-A2E4-9FB1BE1970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5AD19E-8415-4025-AB04-76C1AD260484}">
  <ds:schemaRefs>
    <ds:schemaRef ds:uri="http://schemas.microsoft.com/office/2006/metadata/properties"/>
    <ds:schemaRef ds:uri="http://schemas.microsoft.com/office/infopath/2007/PartnerControls"/>
    <ds:schemaRef ds:uri="e4476828-269d-41e7-8c7f-463a607b843c"/>
    <ds:schemaRef ds:uri="b09089af-d965-4a35-adc6-c1557f4ef19b"/>
  </ds:schemaRefs>
</ds:datastoreItem>
</file>

<file path=customXml/itemProps3.xml><?xml version="1.0" encoding="utf-8"?>
<ds:datastoreItem xmlns:ds="http://schemas.openxmlformats.org/officeDocument/2006/customXml" ds:itemID="{4990751A-B76B-4730-8828-5AB30870FD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3451E-F4E7-43AB-B285-8B6CB15EF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089af-d965-4a35-adc6-c1557f4ef19b"/>
    <ds:schemaRef ds:uri="7197fb12-7609-4665-ab28-2c56dc6efc6c"/>
    <ds:schemaRef ds:uri="e4476828-269d-41e7-8c7f-463a607b8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Links>
    <vt:vector size="18" baseType="variant">
      <vt:variant>
        <vt:i4>7798898</vt:i4>
      </vt:variant>
      <vt:variant>
        <vt:i4>6</vt:i4>
      </vt:variant>
      <vt:variant>
        <vt:i4>0</vt:i4>
      </vt:variant>
      <vt:variant>
        <vt:i4>5</vt:i4>
      </vt:variant>
      <vt:variant>
        <vt:lpwstr>https://oro.open.ac.uk/</vt:lpwstr>
      </vt:variant>
      <vt:variant>
        <vt:lpwstr/>
      </vt:variant>
      <vt:variant>
        <vt:i4>3735610</vt:i4>
      </vt:variant>
      <vt:variant>
        <vt:i4>3</vt:i4>
      </vt:variant>
      <vt:variant>
        <vt:i4>0</vt:i4>
      </vt:variant>
      <vt:variant>
        <vt:i4>5</vt:i4>
      </vt:variant>
      <vt:variant>
        <vt:lpwstr>https://www.officeforstudents.org.uk/advice-and-guidance/the-tef/about-the-tef/</vt:lpwstr>
      </vt:variant>
      <vt:variant>
        <vt:lpwstr/>
      </vt:variant>
      <vt:variant>
        <vt:i4>1245192</vt:i4>
      </vt:variant>
      <vt:variant>
        <vt:i4>0</vt:i4>
      </vt:variant>
      <vt:variant>
        <vt:i4>0</vt:i4>
      </vt:variant>
      <vt:variant>
        <vt:i4>5</vt:i4>
      </vt:variant>
      <vt:variant>
        <vt:lpwstr>https://www5.open.ac.uk/scholarship-and-innovation/esteem/impact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Diane.Ford</dc:creator>
  <cp:keywords/>
  <dc:description/>
  <cp:lastModifiedBy>Diane.Ford</cp:lastModifiedBy>
  <cp:revision>4</cp:revision>
  <dcterms:created xsi:type="dcterms:W3CDTF">2024-06-05T12:35:00Z</dcterms:created>
  <dcterms:modified xsi:type="dcterms:W3CDTF">2024-06-11T12:01:00Z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0x010100E11A8143CE0C134B8A33BBDF9C822137</vt:lpwstr>
  </property>
  <property fmtid="{D5CDD505-2E9C-101B-9397-08002B2CF9AE}" pid="3" name="MediaServiceImageTags">
    <vt:lpwstr/>
  </property>
</Properties>
</file>